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4DF9D" w14:textId="08BE39F3" w:rsidR="00604FBD" w:rsidRDefault="00A93CA3">
      <w:pPr>
        <w:pStyle w:val="Title"/>
      </w:pPr>
      <w:r>
        <w:rPr>
          <w:noProof/>
        </w:rPr>
        <w:drawing>
          <wp:anchor distT="0" distB="0" distL="114300" distR="114300" simplePos="0" relativeHeight="251662336" behindDoc="1" locked="0" layoutInCell="1" allowOverlap="1" wp14:anchorId="110D5A8E" wp14:editId="3E78FF32">
            <wp:simplePos x="0" y="0"/>
            <wp:positionH relativeFrom="margin">
              <wp:posOffset>3146425</wp:posOffset>
            </wp:positionH>
            <wp:positionV relativeFrom="paragraph">
              <wp:posOffset>167640</wp:posOffset>
            </wp:positionV>
            <wp:extent cx="730250" cy="714375"/>
            <wp:effectExtent l="0" t="0" r="0" b="9525"/>
            <wp:wrapTight wrapText="bothSides">
              <wp:wrapPolygon edited="0">
                <wp:start x="6198" y="1728"/>
                <wp:lineTo x="3381" y="4608"/>
                <wp:lineTo x="563" y="9792"/>
                <wp:lineTo x="563" y="14400"/>
                <wp:lineTo x="5071" y="20160"/>
                <wp:lineTo x="6762" y="21312"/>
                <wp:lineTo x="13523" y="21312"/>
                <wp:lineTo x="14650" y="20160"/>
                <wp:lineTo x="19722" y="13248"/>
                <wp:lineTo x="20285" y="10368"/>
                <wp:lineTo x="16341" y="4608"/>
                <wp:lineTo x="13523" y="1728"/>
                <wp:lineTo x="6198" y="1728"/>
              </wp:wrapPolygon>
            </wp:wrapTight>
            <wp:docPr id="163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5"/>
                    <pic:cNvPicPr>
                      <a:picLocks noChangeAspect="1"/>
                    </pic:cNvPicPr>
                  </pic:nvPicPr>
                  <pic:blipFill>
                    <a:blip r:embed="rId10"/>
                    <a:srcRect/>
                    <a:stretch>
                      <a:fillRect/>
                    </a:stretch>
                  </pic:blipFill>
                  <pic:spPr bwMode="auto">
                    <a:xfrm>
                      <a:off x="0" y="0"/>
                      <a:ext cx="730250" cy="71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mbria" w:hAnsi="Cambria"/>
          <w:b w:val="0"/>
          <w:noProof/>
          <w:sz w:val="28"/>
          <w:szCs w:val="28"/>
        </w:rPr>
        <w:drawing>
          <wp:anchor distT="0" distB="0" distL="114300" distR="114300" simplePos="0" relativeHeight="251664384" behindDoc="0" locked="0" layoutInCell="1" allowOverlap="1" wp14:anchorId="3D5F9982" wp14:editId="5C9923AB">
            <wp:simplePos x="0" y="0"/>
            <wp:positionH relativeFrom="column">
              <wp:posOffset>5321300</wp:posOffset>
            </wp:positionH>
            <wp:positionV relativeFrom="paragraph">
              <wp:posOffset>320040</wp:posOffset>
            </wp:positionV>
            <wp:extent cx="990600" cy="458950"/>
            <wp:effectExtent l="0" t="0" r="0" b="0"/>
            <wp:wrapNone/>
            <wp:docPr id="1" name="Picture 1" descr="use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a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58950"/>
                    </a:xfrm>
                    <a:prstGeom prst="rect">
                      <a:avLst/>
                    </a:prstGeom>
                    <a:noFill/>
                  </pic:spPr>
                </pic:pic>
              </a:graphicData>
            </a:graphic>
            <wp14:sizeRelH relativeFrom="page">
              <wp14:pctWidth>0</wp14:pctWidth>
            </wp14:sizeRelH>
            <wp14:sizeRelV relativeFrom="page">
              <wp14:pctHeight>0</wp14:pctHeight>
            </wp14:sizeRelV>
          </wp:anchor>
        </w:drawing>
      </w:r>
      <w:r w:rsidRPr="000F395F">
        <w:rPr>
          <w:noProof/>
        </w:rPr>
        <w:t xml:space="preserve"> </w:t>
      </w:r>
      <w:r w:rsidR="000F395F" w:rsidRPr="000F395F">
        <w:rPr>
          <w:noProof/>
        </w:rPr>
        <w:drawing>
          <wp:anchor distT="0" distB="0" distL="114300" distR="114300" simplePos="0" relativeHeight="251659264" behindDoc="0" locked="0" layoutInCell="1" allowOverlap="1" wp14:anchorId="4E92A2A8" wp14:editId="7B86103B">
            <wp:simplePos x="0" y="0"/>
            <wp:positionH relativeFrom="column">
              <wp:posOffset>11643360</wp:posOffset>
            </wp:positionH>
            <wp:positionV relativeFrom="paragraph">
              <wp:posOffset>154940</wp:posOffset>
            </wp:positionV>
            <wp:extent cx="1133475" cy="525145"/>
            <wp:effectExtent l="0" t="0" r="9525" b="8255"/>
            <wp:wrapNone/>
            <wp:docPr id="3" name="Picture 3" descr="use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a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525145"/>
                    </a:xfrm>
                    <a:prstGeom prst="rect">
                      <a:avLst/>
                    </a:prstGeom>
                    <a:noFill/>
                  </pic:spPr>
                </pic:pic>
              </a:graphicData>
            </a:graphic>
            <wp14:sizeRelH relativeFrom="page">
              <wp14:pctWidth>0</wp14:pctWidth>
            </wp14:sizeRelH>
            <wp14:sizeRelV relativeFrom="page">
              <wp14:pctHeight>0</wp14:pctHeight>
            </wp14:sizeRelV>
          </wp:anchor>
        </w:drawing>
      </w:r>
      <w:r w:rsidR="000F395F" w:rsidRPr="000F395F">
        <w:rPr>
          <w:noProof/>
        </w:rPr>
        <w:drawing>
          <wp:anchor distT="0" distB="0" distL="114300" distR="114300" simplePos="0" relativeHeight="251661312" behindDoc="1" locked="0" layoutInCell="1" allowOverlap="1" wp14:anchorId="69AF1CD7" wp14:editId="7DF244C2">
            <wp:simplePos x="0" y="0"/>
            <wp:positionH relativeFrom="margin">
              <wp:posOffset>-327660</wp:posOffset>
            </wp:positionH>
            <wp:positionV relativeFrom="paragraph">
              <wp:posOffset>68580</wp:posOffset>
            </wp:positionV>
            <wp:extent cx="2523490" cy="987425"/>
            <wp:effectExtent l="0" t="0" r="0" b="0"/>
            <wp:wrapTight wrapText="bothSides">
              <wp:wrapPolygon edited="0">
                <wp:start x="4240" y="2917"/>
                <wp:lineTo x="3424" y="4167"/>
                <wp:lineTo x="2120" y="8334"/>
                <wp:lineTo x="2120" y="12502"/>
                <wp:lineTo x="3587" y="16669"/>
                <wp:lineTo x="4240" y="17502"/>
                <wp:lineTo x="5381" y="17502"/>
                <wp:lineTo x="16958" y="16669"/>
                <wp:lineTo x="19730" y="15419"/>
                <wp:lineTo x="19730" y="6668"/>
                <wp:lineTo x="17447" y="5417"/>
                <wp:lineTo x="5544" y="2917"/>
                <wp:lineTo x="4240" y="2917"/>
              </wp:wrapPolygon>
            </wp:wrapTight>
            <wp:docPr id="2" name="Picture 2" descr="P:\International Dept\Admin\Admin\Logos\USAID\Web, Digital, Video and Office Printers\USAIDLogo_2ColorRGB\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nternational Dept\Admin\Admin\Logos\USAID\Web, Digital, Video and Office Printers\USAIDLogo_2ColorRGB\Horizontal_RGB_29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3490" cy="98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F34B9A" w14:textId="77777777" w:rsidR="000F395F" w:rsidRDefault="000F395F">
      <w:pPr>
        <w:pStyle w:val="Subtitle"/>
      </w:pPr>
    </w:p>
    <w:p w14:paraId="1AA803F4" w14:textId="77777777" w:rsidR="00604FBD" w:rsidRPr="00B36AB3" w:rsidRDefault="000F395F" w:rsidP="000F395F">
      <w:pPr>
        <w:pStyle w:val="Subtitle"/>
        <w:jc w:val="center"/>
        <w:rPr>
          <w:rFonts w:asciiTheme="minorHAnsi" w:hAnsiTheme="minorHAnsi"/>
        </w:rPr>
      </w:pPr>
      <w:r w:rsidRPr="00B36AB3">
        <w:rPr>
          <w:rFonts w:asciiTheme="minorHAnsi" w:hAnsiTheme="minorHAnsi"/>
        </w:rPr>
        <w:t>ENERGY TECHNOLOGY AND GOVERNANCE PROGRAM</w:t>
      </w:r>
    </w:p>
    <w:p w14:paraId="3AAC6A2D" w14:textId="4E195F69" w:rsidR="000F395F" w:rsidRPr="00B36AB3" w:rsidRDefault="000F395F" w:rsidP="000F395F">
      <w:pPr>
        <w:pStyle w:val="Subtitle"/>
        <w:jc w:val="center"/>
        <w:rPr>
          <w:rFonts w:asciiTheme="minorHAnsi" w:hAnsiTheme="minorHAnsi"/>
          <w:color w:val="00194C"/>
        </w:rPr>
      </w:pPr>
      <w:r w:rsidRPr="00B36AB3">
        <w:rPr>
          <w:rFonts w:asciiTheme="minorHAnsi" w:hAnsiTheme="minorHAnsi"/>
          <w:color w:val="00194C"/>
        </w:rPr>
        <w:t>BLACK SEA TRANSMISSION PLANNING PROJECT (BSTP)</w:t>
      </w:r>
    </w:p>
    <w:p w14:paraId="03722594" w14:textId="5AAA3AD2" w:rsidR="000F395F" w:rsidRPr="00B36AB3" w:rsidRDefault="000E165A" w:rsidP="000F395F">
      <w:pPr>
        <w:pStyle w:val="Subtitle"/>
        <w:jc w:val="center"/>
        <w:rPr>
          <w:rFonts w:asciiTheme="minorHAnsi" w:hAnsiTheme="minorHAnsi"/>
          <w:color w:val="00194C"/>
        </w:rPr>
      </w:pPr>
      <w:r>
        <w:rPr>
          <w:rFonts w:asciiTheme="minorHAnsi" w:hAnsiTheme="minorHAnsi"/>
          <w:color w:val="00194C"/>
        </w:rPr>
        <w:t xml:space="preserve">VIRTUAL </w:t>
      </w:r>
      <w:r w:rsidR="000F395F" w:rsidRPr="00B36AB3">
        <w:rPr>
          <w:rFonts w:asciiTheme="minorHAnsi" w:hAnsiTheme="minorHAnsi"/>
          <w:color w:val="00194C"/>
        </w:rPr>
        <w:t>WORKING GROUP MEETING</w:t>
      </w:r>
      <w:r w:rsidR="00D447E5">
        <w:rPr>
          <w:rFonts w:asciiTheme="minorHAnsi" w:hAnsiTheme="minorHAnsi"/>
          <w:color w:val="00194C"/>
        </w:rPr>
        <w:t xml:space="preserve"> </w:t>
      </w:r>
    </w:p>
    <w:p w14:paraId="4D186174" w14:textId="190AA327" w:rsidR="00604FBD" w:rsidRPr="00B36AB3" w:rsidRDefault="008A52E4" w:rsidP="000F395F">
      <w:pPr>
        <w:pBdr>
          <w:top w:val="single" w:sz="4" w:space="1" w:color="444D26" w:themeColor="text2"/>
        </w:pBdr>
        <w:spacing w:before="0" w:after="0" w:line="240" w:lineRule="auto"/>
        <w:jc w:val="center"/>
        <w:rPr>
          <w:color w:val="00194C"/>
        </w:rPr>
      </w:pPr>
      <w:r>
        <w:rPr>
          <w:rStyle w:val="IntenseEmphasis"/>
          <w:color w:val="00194C"/>
        </w:rPr>
        <w:t>May 27</w:t>
      </w:r>
      <w:r w:rsidR="000F395F" w:rsidRPr="00B36AB3">
        <w:rPr>
          <w:rStyle w:val="IntenseEmphasis"/>
          <w:color w:val="00194C"/>
        </w:rPr>
        <w:t>, 20</w:t>
      </w:r>
      <w:r w:rsidR="00D96D78">
        <w:rPr>
          <w:rStyle w:val="IntenseEmphasis"/>
          <w:color w:val="00194C"/>
        </w:rPr>
        <w:t>20</w:t>
      </w:r>
    </w:p>
    <w:p w14:paraId="6FB0766A" w14:textId="09261390" w:rsidR="000E165A" w:rsidRDefault="000E165A" w:rsidP="00EB4FBE">
      <w:pPr>
        <w:pBdr>
          <w:top w:val="single" w:sz="4" w:space="1" w:color="444D26" w:themeColor="text2"/>
        </w:pBdr>
        <w:spacing w:before="0" w:after="0" w:line="240" w:lineRule="auto"/>
        <w:jc w:val="center"/>
        <w:rPr>
          <w:rStyle w:val="IntenseEmphasis"/>
          <w:color w:val="00194C"/>
        </w:rPr>
      </w:pPr>
      <w:r>
        <w:rPr>
          <w:rStyle w:val="IntenseEmphasis"/>
          <w:color w:val="00194C"/>
        </w:rPr>
        <w:t>7:00 AM – 8:30 AM (EDT)</w:t>
      </w:r>
    </w:p>
    <w:p w14:paraId="14C92E91" w14:textId="05CD9498" w:rsidR="000E165A" w:rsidRDefault="000E165A" w:rsidP="00EB4FBE">
      <w:pPr>
        <w:pBdr>
          <w:top w:val="single" w:sz="4" w:space="1" w:color="444D26" w:themeColor="text2"/>
        </w:pBdr>
        <w:spacing w:before="0" w:after="0" w:line="240" w:lineRule="auto"/>
        <w:jc w:val="center"/>
        <w:rPr>
          <w:rStyle w:val="IntenseEmphasis"/>
          <w:color w:val="00194C"/>
        </w:rPr>
      </w:pPr>
      <w:r>
        <w:rPr>
          <w:rStyle w:val="IntenseEmphasis"/>
          <w:color w:val="00194C"/>
        </w:rPr>
        <w:t>1:00 PM – 2:30 PM CENTRAL EUROPEAN TIME</w:t>
      </w:r>
    </w:p>
    <w:p w14:paraId="3ACA418B" w14:textId="2D0CF7FC" w:rsidR="000E165A" w:rsidRDefault="000E165A" w:rsidP="00EB4FBE">
      <w:pPr>
        <w:pBdr>
          <w:top w:val="single" w:sz="4" w:space="1" w:color="444D26" w:themeColor="text2"/>
        </w:pBdr>
        <w:spacing w:before="0" w:after="0" w:line="240" w:lineRule="auto"/>
        <w:jc w:val="center"/>
        <w:rPr>
          <w:rStyle w:val="IntenseEmphasis"/>
          <w:color w:val="00194C"/>
        </w:rPr>
      </w:pPr>
      <w:r>
        <w:rPr>
          <w:rStyle w:val="IntenseEmphasis"/>
          <w:color w:val="00194C"/>
        </w:rPr>
        <w:t>2:00 PM – 3:30 PM UKRAINIAN AND MOLDOVAN STANDARD TIME</w:t>
      </w:r>
    </w:p>
    <w:p w14:paraId="659243DB" w14:textId="20B25EFA" w:rsidR="000E165A" w:rsidRDefault="000E165A" w:rsidP="00EB4FBE">
      <w:pPr>
        <w:pBdr>
          <w:top w:val="single" w:sz="4" w:space="1" w:color="444D26" w:themeColor="text2"/>
        </w:pBdr>
        <w:spacing w:before="0" w:after="0" w:line="240" w:lineRule="auto"/>
        <w:jc w:val="center"/>
        <w:rPr>
          <w:rStyle w:val="IntenseEmphasis"/>
          <w:color w:val="00194C"/>
        </w:rPr>
      </w:pPr>
      <w:r>
        <w:rPr>
          <w:rStyle w:val="IntenseEmphasis"/>
          <w:color w:val="00194C"/>
        </w:rPr>
        <w:t xml:space="preserve">3:00 PM – 4:30 PM ARMENIAN AND GEORGIAN STANDARD TIME </w:t>
      </w:r>
    </w:p>
    <w:p w14:paraId="4BA56997" w14:textId="77777777" w:rsidR="000E165A" w:rsidRDefault="00B068F9" w:rsidP="000E165A">
      <w:pPr>
        <w:jc w:val="center"/>
        <w:rPr>
          <w:rFonts w:eastAsia="Times New Roman"/>
          <w:color w:val="000000"/>
          <w:sz w:val="24"/>
          <w:szCs w:val="24"/>
        </w:rPr>
      </w:pPr>
      <w:r>
        <w:rPr>
          <w:rFonts w:eastAsia="Times New Roman"/>
          <w:color w:val="000000"/>
          <w:sz w:val="24"/>
          <w:szCs w:val="24"/>
        </w:rPr>
        <w:pict w14:anchorId="24EFEF21">
          <v:rect id="_x0000_i1025" style="width:999pt;height:.5pt" o:hralign="center" o:hrstd="t" o:hr="t" fillcolor="#a0a0a0" stroked="f"/>
        </w:pict>
      </w:r>
    </w:p>
    <w:p w14:paraId="24DF0379" w14:textId="2C28804A" w:rsidR="000E165A" w:rsidRPr="000E165A" w:rsidRDefault="000E165A" w:rsidP="000E165A">
      <w:pPr>
        <w:pBdr>
          <w:top w:val="single" w:sz="4" w:space="1" w:color="444D26" w:themeColor="text2"/>
        </w:pBdr>
        <w:spacing w:before="0" w:after="0" w:line="240" w:lineRule="auto"/>
        <w:jc w:val="center"/>
        <w:rPr>
          <w:rStyle w:val="IntenseEmphasis"/>
          <w:i w:val="0"/>
          <w:iCs w:val="0"/>
          <w:color w:val="auto"/>
        </w:rPr>
      </w:pPr>
      <w:r>
        <w:rPr>
          <w:b/>
          <w:bCs/>
          <w:color w:val="000000"/>
          <w:sz w:val="24"/>
          <w:szCs w:val="24"/>
        </w:rPr>
        <w:t xml:space="preserve">Please join our meeting from your computer, tablet or smartphone. </w:t>
      </w:r>
      <w:r>
        <w:rPr>
          <w:color w:val="000000"/>
          <w:sz w:val="24"/>
          <w:szCs w:val="24"/>
        </w:rPr>
        <w:br/>
      </w:r>
      <w:hyperlink r:id="rId13" w:tgtFrame="_blank" w:history="1">
        <w:r>
          <w:rPr>
            <w:rStyle w:val="Hyperlink"/>
            <w:sz w:val="24"/>
            <w:szCs w:val="24"/>
          </w:rPr>
          <w:t>https://global.gotomeeting.com/join/487330773</w:t>
        </w:r>
      </w:hyperlink>
      <w:r>
        <w:rPr>
          <w:rStyle w:val="inv-meeting-url"/>
          <w:color w:val="000000"/>
          <w:sz w:val="24"/>
          <w:szCs w:val="24"/>
        </w:rPr>
        <w:t xml:space="preserve"> </w:t>
      </w:r>
    </w:p>
    <w:p w14:paraId="2684DFF9" w14:textId="77777777" w:rsidR="00604FBD" w:rsidRPr="00F96C84" w:rsidRDefault="000F395F">
      <w:pPr>
        <w:pStyle w:val="Heading1"/>
      </w:pPr>
      <w:r w:rsidRPr="00F96C84">
        <w:t>Objectives</w:t>
      </w:r>
    </w:p>
    <w:p w14:paraId="2B2FF854" w14:textId="4E0A5BCF" w:rsidR="00BB4BF0" w:rsidRPr="001C400D" w:rsidRDefault="00F66909" w:rsidP="00BB4BF0">
      <w:pPr>
        <w:pStyle w:val="ListParagraph"/>
        <w:numPr>
          <w:ilvl w:val="0"/>
          <w:numId w:val="13"/>
        </w:numPr>
        <w:spacing w:before="0" w:after="0" w:line="240" w:lineRule="auto"/>
        <w:jc w:val="both"/>
        <w:rPr>
          <w:rFonts w:ascii="Cambria" w:hAnsi="Cambria" w:cs="Times New Roman"/>
          <w:b/>
          <w:iCs/>
          <w:color w:val="00194C"/>
          <w:sz w:val="24"/>
          <w:szCs w:val="24"/>
        </w:rPr>
      </w:pPr>
      <w:bookmarkStart w:id="0" w:name="_Hlk525654722"/>
      <w:r w:rsidRPr="001C400D">
        <w:rPr>
          <w:rFonts w:ascii="Cambria" w:hAnsi="Cambria" w:cs="Times New Roman"/>
          <w:b/>
          <w:iCs/>
          <w:color w:val="00194C"/>
          <w:sz w:val="24"/>
          <w:szCs w:val="24"/>
        </w:rPr>
        <w:t>Present</w:t>
      </w:r>
      <w:r w:rsidR="0050451C" w:rsidRPr="001C400D">
        <w:rPr>
          <w:rFonts w:ascii="Cambria" w:hAnsi="Cambria" w:cs="Times New Roman"/>
          <w:b/>
          <w:iCs/>
          <w:color w:val="00194C"/>
          <w:sz w:val="24"/>
          <w:szCs w:val="24"/>
        </w:rPr>
        <w:t xml:space="preserve"> the</w:t>
      </w:r>
      <w:r w:rsidR="00E02596" w:rsidRPr="001C400D">
        <w:rPr>
          <w:rFonts w:ascii="Cambria" w:hAnsi="Cambria" w:cs="Times New Roman"/>
          <w:b/>
          <w:iCs/>
          <w:color w:val="00194C"/>
          <w:sz w:val="24"/>
          <w:szCs w:val="24"/>
        </w:rPr>
        <w:t xml:space="preserve"> </w:t>
      </w:r>
      <w:r w:rsidR="00942FF8" w:rsidRPr="001C400D">
        <w:rPr>
          <w:rFonts w:ascii="Cambria" w:hAnsi="Cambria" w:cs="Times New Roman"/>
          <w:b/>
          <w:iCs/>
          <w:color w:val="00194C"/>
          <w:sz w:val="24"/>
          <w:szCs w:val="24"/>
        </w:rPr>
        <w:t>I</w:t>
      </w:r>
      <w:r w:rsidR="00D96D78" w:rsidRPr="001C400D">
        <w:rPr>
          <w:rFonts w:ascii="Cambria" w:hAnsi="Cambria" w:cs="Times New Roman"/>
          <w:b/>
          <w:iCs/>
          <w:color w:val="00194C"/>
          <w:sz w:val="24"/>
          <w:szCs w:val="24"/>
        </w:rPr>
        <w:t>mpact of High RES on Possible Grid Constraints in the Black Sea Region</w:t>
      </w:r>
      <w:r w:rsidR="00942FF8" w:rsidRPr="001C400D">
        <w:rPr>
          <w:rFonts w:ascii="Cambria" w:hAnsi="Cambria" w:cs="Times New Roman"/>
          <w:b/>
          <w:iCs/>
          <w:color w:val="00194C"/>
          <w:sz w:val="24"/>
          <w:szCs w:val="24"/>
        </w:rPr>
        <w:t xml:space="preserve"> Study Interim Report</w:t>
      </w:r>
      <w:r w:rsidR="00BB4BF0" w:rsidRPr="001C400D">
        <w:rPr>
          <w:rFonts w:ascii="Cambria" w:hAnsi="Cambria" w:cs="Times New Roman"/>
          <w:b/>
          <w:iCs/>
          <w:color w:val="00194C"/>
          <w:sz w:val="24"/>
          <w:szCs w:val="24"/>
        </w:rPr>
        <w:t>:</w:t>
      </w:r>
    </w:p>
    <w:p w14:paraId="613C1BA1" w14:textId="77777777" w:rsidR="0079390E" w:rsidRDefault="0079390E" w:rsidP="001C400D">
      <w:pPr>
        <w:pStyle w:val="ListParagraph"/>
        <w:spacing w:after="0" w:line="240" w:lineRule="auto"/>
        <w:rPr>
          <w:rFonts w:asciiTheme="majorHAnsi" w:hAnsiTheme="majorHAnsi"/>
        </w:rPr>
      </w:pPr>
    </w:p>
    <w:p w14:paraId="7112B103" w14:textId="1E6D46A6" w:rsidR="001C400D" w:rsidRPr="003F4143" w:rsidRDefault="001C400D" w:rsidP="001C400D">
      <w:pPr>
        <w:pStyle w:val="ListParagraph"/>
        <w:spacing w:after="0" w:line="240" w:lineRule="auto"/>
        <w:rPr>
          <w:rFonts w:ascii="Cambria" w:hAnsi="Cambria"/>
          <w:b/>
          <w:bCs/>
          <w:i/>
          <w:iCs/>
          <w:color w:val="344D6C" w:themeColor="accent6" w:themeShade="80"/>
          <w:sz w:val="24"/>
          <w:szCs w:val="24"/>
        </w:rPr>
      </w:pPr>
      <w:r w:rsidRPr="003F4143">
        <w:rPr>
          <w:rFonts w:ascii="Cambria" w:hAnsi="Cambria"/>
          <w:b/>
          <w:bCs/>
          <w:i/>
          <w:iCs/>
          <w:color w:val="344D6C" w:themeColor="accent6" w:themeShade="80"/>
          <w:sz w:val="24"/>
          <w:szCs w:val="24"/>
        </w:rPr>
        <w:t xml:space="preserve">A primary objective of this study </w:t>
      </w:r>
      <w:r w:rsidR="0079390E" w:rsidRPr="003F4143">
        <w:rPr>
          <w:rFonts w:ascii="Cambria" w:hAnsi="Cambria"/>
          <w:b/>
          <w:bCs/>
          <w:i/>
          <w:iCs/>
          <w:color w:val="344D6C" w:themeColor="accent6" w:themeShade="80"/>
          <w:sz w:val="24"/>
          <w:szCs w:val="24"/>
        </w:rPr>
        <w:t xml:space="preserve">is </w:t>
      </w:r>
      <w:r w:rsidRPr="003F4143">
        <w:rPr>
          <w:rFonts w:ascii="Cambria" w:hAnsi="Cambria"/>
          <w:b/>
          <w:bCs/>
          <w:i/>
          <w:iCs/>
          <w:color w:val="344D6C" w:themeColor="accent6" w:themeShade="80"/>
          <w:sz w:val="24"/>
          <w:szCs w:val="24"/>
        </w:rPr>
        <w:t xml:space="preserve">to help Black Sea TSOs better prepare for future large-scale RES integration and anticipate the expected changes in network and market operations that will take place as cross-border transactions and markets open up regionwide.  The study addresses both how electricity markets and prices will be affected by substantial amounts of RES development, and how the transmission grid will need to adapt – both within the BSTP countries and between them – as RES becomes a more significant share of the generation mix by 2030. </w:t>
      </w:r>
    </w:p>
    <w:p w14:paraId="051D765F" w14:textId="77777777" w:rsidR="0079390E" w:rsidRPr="003F4143" w:rsidRDefault="0079390E" w:rsidP="001C400D">
      <w:pPr>
        <w:pStyle w:val="ListParagraph"/>
        <w:spacing w:after="0" w:line="240" w:lineRule="auto"/>
        <w:rPr>
          <w:rFonts w:ascii="Cambria" w:hAnsi="Cambria"/>
          <w:b/>
          <w:bCs/>
          <w:i/>
          <w:iCs/>
          <w:color w:val="344D6C" w:themeColor="accent6" w:themeShade="80"/>
          <w:sz w:val="24"/>
          <w:szCs w:val="24"/>
        </w:rPr>
      </w:pPr>
    </w:p>
    <w:p w14:paraId="7E70FE25" w14:textId="185892B5" w:rsidR="001C400D" w:rsidRPr="003F4143" w:rsidRDefault="001C400D" w:rsidP="006848C4">
      <w:pPr>
        <w:pStyle w:val="ListParagraph"/>
        <w:spacing w:after="0" w:line="240" w:lineRule="auto"/>
        <w:rPr>
          <w:rFonts w:ascii="Cambria" w:hAnsi="Cambria"/>
          <w:b/>
          <w:bCs/>
          <w:i/>
          <w:iCs/>
          <w:color w:val="344D6C" w:themeColor="accent6" w:themeShade="80"/>
          <w:sz w:val="24"/>
          <w:szCs w:val="24"/>
        </w:rPr>
      </w:pPr>
      <w:r w:rsidRPr="003F4143">
        <w:rPr>
          <w:rFonts w:ascii="Cambria" w:hAnsi="Cambria"/>
          <w:b/>
          <w:bCs/>
          <w:i/>
          <w:iCs/>
          <w:color w:val="344D6C" w:themeColor="accent6" w:themeShade="80"/>
          <w:sz w:val="24"/>
          <w:szCs w:val="24"/>
        </w:rPr>
        <w:t>The market analysis include</w:t>
      </w:r>
      <w:r w:rsidR="001E1CBC" w:rsidRPr="003F4143">
        <w:rPr>
          <w:rFonts w:ascii="Cambria" w:hAnsi="Cambria"/>
          <w:b/>
          <w:bCs/>
          <w:i/>
          <w:iCs/>
          <w:color w:val="344D6C" w:themeColor="accent6" w:themeShade="80"/>
          <w:sz w:val="24"/>
          <w:szCs w:val="24"/>
        </w:rPr>
        <w:t>s</w:t>
      </w:r>
      <w:r w:rsidRPr="003F4143">
        <w:rPr>
          <w:rFonts w:ascii="Cambria" w:hAnsi="Cambria"/>
          <w:b/>
          <w:bCs/>
          <w:i/>
          <w:iCs/>
          <w:color w:val="344D6C" w:themeColor="accent6" w:themeShade="80"/>
          <w:sz w:val="24"/>
          <w:szCs w:val="24"/>
        </w:rPr>
        <w:t xml:space="preserve"> hourly simulations of the power system with subsequent results for each hour of the year </w:t>
      </w:r>
      <w:r w:rsidR="001E1CBC" w:rsidRPr="003F4143">
        <w:rPr>
          <w:rFonts w:ascii="Cambria" w:hAnsi="Cambria"/>
          <w:b/>
          <w:bCs/>
          <w:i/>
          <w:iCs/>
          <w:color w:val="344D6C" w:themeColor="accent6" w:themeShade="80"/>
          <w:sz w:val="24"/>
          <w:szCs w:val="24"/>
        </w:rPr>
        <w:t xml:space="preserve">and will enable the BSTP to assess the impact of large-scale RES integration on wholesale market prices, country balances, cross-border flows and congestion costs; </w:t>
      </w:r>
      <w:r w:rsidRPr="003F4143">
        <w:rPr>
          <w:rFonts w:ascii="Cambria" w:hAnsi="Cambria"/>
          <w:b/>
          <w:bCs/>
          <w:i/>
          <w:iCs/>
          <w:color w:val="344D6C" w:themeColor="accent6" w:themeShade="80"/>
          <w:sz w:val="24"/>
          <w:szCs w:val="24"/>
        </w:rPr>
        <w:t xml:space="preserve">while the network analysis </w:t>
      </w:r>
      <w:r w:rsidR="001E1CBC" w:rsidRPr="003F4143">
        <w:rPr>
          <w:rFonts w:ascii="Cambria" w:hAnsi="Cambria"/>
          <w:b/>
          <w:bCs/>
          <w:i/>
          <w:iCs/>
          <w:color w:val="344D6C" w:themeColor="accent6" w:themeShade="80"/>
          <w:sz w:val="24"/>
          <w:szCs w:val="24"/>
        </w:rPr>
        <w:t xml:space="preserve">will </w:t>
      </w:r>
      <w:r w:rsidRPr="003F4143">
        <w:rPr>
          <w:rFonts w:ascii="Cambria" w:hAnsi="Cambria"/>
          <w:b/>
          <w:bCs/>
          <w:i/>
          <w:iCs/>
          <w:color w:val="344D6C" w:themeColor="accent6" w:themeShade="80"/>
          <w:sz w:val="24"/>
          <w:szCs w:val="24"/>
        </w:rPr>
        <w:t xml:space="preserve">enable BSTP members to better understand the effects of large-scale RES integration impact on load flows, voltage profiles, secure grid operations and congestion in the regional transmission network. </w:t>
      </w:r>
      <w:r w:rsidR="006848C4" w:rsidRPr="003F4143">
        <w:rPr>
          <w:rFonts w:ascii="Cambria" w:hAnsi="Cambria"/>
          <w:b/>
          <w:bCs/>
          <w:i/>
          <w:iCs/>
          <w:color w:val="344D6C" w:themeColor="accent6" w:themeShade="80"/>
          <w:sz w:val="24"/>
          <w:szCs w:val="24"/>
        </w:rPr>
        <w:t xml:space="preserve">Once the market and network models will be merged and testes, </w:t>
      </w:r>
      <w:r w:rsidRPr="003F4143">
        <w:rPr>
          <w:rFonts w:ascii="Cambria" w:hAnsi="Cambria"/>
          <w:b/>
          <w:bCs/>
          <w:i/>
          <w:iCs/>
          <w:color w:val="344D6C" w:themeColor="accent6" w:themeShade="80"/>
          <w:sz w:val="24"/>
          <w:szCs w:val="24"/>
        </w:rPr>
        <w:t xml:space="preserve">they will be transferred (in the Antares and PSS/E software platforms) to the BSTP Working Group </w:t>
      </w:r>
      <w:r w:rsidR="006848C4" w:rsidRPr="003F4143">
        <w:rPr>
          <w:rFonts w:ascii="Cambria" w:hAnsi="Cambria"/>
          <w:b/>
          <w:bCs/>
          <w:i/>
          <w:iCs/>
          <w:color w:val="344D6C" w:themeColor="accent6" w:themeShade="80"/>
          <w:sz w:val="24"/>
          <w:szCs w:val="24"/>
        </w:rPr>
        <w:t>members</w:t>
      </w:r>
      <w:r w:rsidRPr="003F4143">
        <w:rPr>
          <w:rFonts w:ascii="Cambria" w:hAnsi="Cambria"/>
          <w:b/>
          <w:bCs/>
          <w:i/>
          <w:iCs/>
          <w:color w:val="344D6C" w:themeColor="accent6" w:themeShade="80"/>
          <w:sz w:val="24"/>
          <w:szCs w:val="24"/>
        </w:rPr>
        <w:t xml:space="preserve">. The models will include all key data and explanations required for the BSTP </w:t>
      </w:r>
      <w:r w:rsidR="006848C4" w:rsidRPr="003F4143">
        <w:rPr>
          <w:rFonts w:ascii="Cambria" w:hAnsi="Cambria"/>
          <w:b/>
          <w:bCs/>
          <w:i/>
          <w:iCs/>
          <w:color w:val="344D6C" w:themeColor="accent6" w:themeShade="80"/>
          <w:sz w:val="24"/>
          <w:szCs w:val="24"/>
        </w:rPr>
        <w:t>members</w:t>
      </w:r>
      <w:r w:rsidRPr="003F4143">
        <w:rPr>
          <w:rFonts w:ascii="Cambria" w:hAnsi="Cambria"/>
          <w:b/>
          <w:bCs/>
          <w:i/>
          <w:iCs/>
          <w:color w:val="344D6C" w:themeColor="accent6" w:themeShade="80"/>
          <w:sz w:val="24"/>
          <w:szCs w:val="24"/>
        </w:rPr>
        <w:t xml:space="preserve"> to use them for their own internal purposes and future analyses. </w:t>
      </w:r>
    </w:p>
    <w:bookmarkEnd w:id="0"/>
    <w:p w14:paraId="73C3ABB7" w14:textId="77777777" w:rsidR="000F395F" w:rsidRPr="00F96C84" w:rsidRDefault="000F395F" w:rsidP="000F395F">
      <w:pPr>
        <w:pStyle w:val="Heading1"/>
      </w:pPr>
      <w:r w:rsidRPr="00F96C84">
        <w:t>Meeting Agenda</w:t>
      </w:r>
    </w:p>
    <w:p w14:paraId="1A2069BF" w14:textId="519B3EC3" w:rsidR="000F395F" w:rsidRPr="005A7DAB" w:rsidRDefault="000F395F" w:rsidP="000F395F">
      <w:pPr>
        <w:tabs>
          <w:tab w:val="left" w:pos="720"/>
        </w:tabs>
        <w:spacing w:before="0" w:after="0" w:line="240" w:lineRule="auto"/>
        <w:jc w:val="both"/>
        <w:rPr>
          <w:rFonts w:ascii="Cambria" w:eastAsia="Times New Roman" w:hAnsi="Cambria" w:cs="Times New Roman"/>
          <w:b/>
          <w:color w:val="00194C"/>
          <w:sz w:val="24"/>
          <w:szCs w:val="24"/>
          <w:lang w:eastAsia="en-US"/>
        </w:rPr>
      </w:pPr>
      <w:r w:rsidRPr="005A7DAB">
        <w:rPr>
          <w:rFonts w:ascii="Cambria" w:eastAsia="Times New Roman" w:hAnsi="Cambria" w:cs="Times New Roman"/>
          <w:b/>
          <w:color w:val="00194C"/>
          <w:sz w:val="24"/>
          <w:szCs w:val="24"/>
          <w:lang w:eastAsia="en-US"/>
        </w:rPr>
        <w:lastRenderedPageBreak/>
        <w:t>OPENING AND WELCOMING REMARKS</w:t>
      </w:r>
    </w:p>
    <w:p w14:paraId="656AD2E7" w14:textId="77777777" w:rsidR="000F395F" w:rsidRPr="005A7DAB" w:rsidRDefault="000F395F" w:rsidP="00A25CA0">
      <w:pPr>
        <w:numPr>
          <w:ilvl w:val="0"/>
          <w:numId w:val="11"/>
        </w:numPr>
        <w:spacing w:before="0" w:after="0" w:line="240" w:lineRule="auto"/>
        <w:ind w:left="1080"/>
        <w:rPr>
          <w:rFonts w:ascii="Cambria" w:eastAsia="Calibri" w:hAnsi="Cambria" w:cs="Times New Roman"/>
          <w:i/>
          <w:color w:val="00194C"/>
          <w:sz w:val="24"/>
          <w:szCs w:val="24"/>
          <w:lang w:eastAsia="en-US"/>
        </w:rPr>
      </w:pPr>
      <w:bookmarkStart w:id="1" w:name="_GoBack"/>
      <w:bookmarkEnd w:id="1"/>
      <w:r w:rsidRPr="005A7DAB">
        <w:rPr>
          <w:rFonts w:ascii="Cambria" w:eastAsia="Calibri" w:hAnsi="Cambria" w:cs="Times New Roman"/>
          <w:i/>
          <w:color w:val="00194C"/>
          <w:sz w:val="24"/>
          <w:szCs w:val="24"/>
          <w:lang w:eastAsia="en-US"/>
        </w:rPr>
        <w:t>Garnik Balyan, Chairman of the Black Sea Regional Transmission System Planning Project</w:t>
      </w:r>
      <w:r w:rsidR="007F782E" w:rsidRPr="005A7DAB">
        <w:rPr>
          <w:rFonts w:ascii="Cambria" w:eastAsia="Calibri" w:hAnsi="Cambria" w:cs="Times New Roman"/>
          <w:i/>
          <w:color w:val="00194C"/>
          <w:sz w:val="24"/>
          <w:szCs w:val="24"/>
          <w:lang w:eastAsia="en-US"/>
        </w:rPr>
        <w:t xml:space="preserve">, </w:t>
      </w:r>
      <w:r w:rsidR="00E538CE" w:rsidRPr="005A7DAB">
        <w:rPr>
          <w:rFonts w:ascii="Cambria" w:eastAsia="Calibri" w:hAnsi="Cambria" w:cs="Times New Roman"/>
          <w:i/>
          <w:color w:val="00194C"/>
          <w:sz w:val="24"/>
          <w:szCs w:val="24"/>
          <w:lang w:eastAsia="en-US"/>
        </w:rPr>
        <w:t xml:space="preserve">Electric Power System Operator of Armenia </w:t>
      </w:r>
    </w:p>
    <w:p w14:paraId="769D512C" w14:textId="52FD983B" w:rsidR="00EA2D3B" w:rsidRDefault="000F395F" w:rsidP="00EA2D3B">
      <w:pPr>
        <w:numPr>
          <w:ilvl w:val="0"/>
          <w:numId w:val="11"/>
        </w:numPr>
        <w:spacing w:before="0" w:after="0" w:line="240" w:lineRule="auto"/>
        <w:ind w:left="1080"/>
        <w:rPr>
          <w:rFonts w:ascii="Cambria" w:eastAsia="Calibri" w:hAnsi="Cambria" w:cs="Times New Roman"/>
          <w:i/>
          <w:color w:val="00194C"/>
          <w:sz w:val="24"/>
          <w:szCs w:val="24"/>
          <w:lang w:eastAsia="en-US"/>
        </w:rPr>
      </w:pPr>
      <w:r w:rsidRPr="005A7DAB">
        <w:rPr>
          <w:rFonts w:ascii="Cambria" w:eastAsia="Calibri" w:hAnsi="Cambria" w:cs="Times New Roman"/>
          <w:i/>
          <w:color w:val="00194C"/>
          <w:sz w:val="24"/>
          <w:szCs w:val="24"/>
          <w:lang w:eastAsia="en-US"/>
        </w:rPr>
        <w:t>William L. Polen, Senior Director, United States Energy Association</w:t>
      </w:r>
    </w:p>
    <w:p w14:paraId="330680A2" w14:textId="77777777" w:rsidR="002C7922" w:rsidRPr="005A7DAB" w:rsidRDefault="002C7922" w:rsidP="00A942A7">
      <w:pPr>
        <w:spacing w:before="0" w:after="0" w:line="240" w:lineRule="auto"/>
        <w:ind w:left="1080"/>
        <w:contextualSpacing/>
        <w:rPr>
          <w:rFonts w:ascii="Cambria" w:eastAsia="Times New Roman" w:hAnsi="Cambria" w:cs="Times New Roman"/>
          <w:b/>
          <w:color w:val="00194C"/>
          <w:sz w:val="24"/>
          <w:szCs w:val="24"/>
          <w:lang w:eastAsia="en-US"/>
        </w:rPr>
      </w:pPr>
    </w:p>
    <w:p w14:paraId="1B818FC2" w14:textId="51B589F0" w:rsidR="007E253E" w:rsidRDefault="00D96D78" w:rsidP="007E253E">
      <w:pPr>
        <w:spacing w:before="0" w:after="0" w:line="240" w:lineRule="auto"/>
        <w:ind w:left="720" w:hanging="720"/>
        <w:contextualSpacing/>
        <w:rPr>
          <w:rFonts w:ascii="Cambria" w:eastAsia="Times New Roman" w:hAnsi="Cambria" w:cs="Times New Roman"/>
          <w:b/>
          <w:color w:val="00194C"/>
          <w:sz w:val="24"/>
          <w:szCs w:val="24"/>
          <w:lang w:eastAsia="en-US"/>
        </w:rPr>
      </w:pPr>
      <w:r>
        <w:rPr>
          <w:rFonts w:ascii="Cambria" w:eastAsia="Times New Roman" w:hAnsi="Cambria" w:cs="Times New Roman"/>
          <w:b/>
          <w:color w:val="00194C"/>
          <w:sz w:val="24"/>
          <w:szCs w:val="24"/>
          <w:lang w:eastAsia="en-US"/>
        </w:rPr>
        <w:t>IMPACT OF HIGH RES ON POSSIBLE GRID CONSTRAINTS IN THE BLACK SEA REGION STUDY</w:t>
      </w:r>
    </w:p>
    <w:p w14:paraId="5474D533" w14:textId="08CDD3A1" w:rsidR="000F395F" w:rsidRDefault="00A942A7" w:rsidP="007E253E">
      <w:pPr>
        <w:spacing w:before="0" w:after="0" w:line="240" w:lineRule="auto"/>
        <w:ind w:left="720"/>
        <w:contextualSpacing/>
        <w:rPr>
          <w:rFonts w:ascii="Cambria" w:eastAsia="Calibri" w:hAnsi="Cambria" w:cs="Arial"/>
          <w:bCs/>
          <w:i/>
          <w:color w:val="00194C"/>
          <w:sz w:val="24"/>
          <w:szCs w:val="24"/>
          <w:lang w:eastAsia="en-US"/>
        </w:rPr>
      </w:pPr>
      <w:r w:rsidRPr="005A7DAB">
        <w:rPr>
          <w:rFonts w:ascii="Cambria" w:eastAsia="Calibri" w:hAnsi="Cambria" w:cs="Times New Roman"/>
          <w:i/>
          <w:color w:val="00194C"/>
          <w:sz w:val="24"/>
          <w:szCs w:val="24"/>
          <w:lang w:eastAsia="en-US"/>
        </w:rPr>
        <w:t xml:space="preserve">Presenters: </w:t>
      </w:r>
      <w:r w:rsidR="000F395F" w:rsidRPr="005A7DAB">
        <w:rPr>
          <w:rFonts w:ascii="Cambria" w:eastAsia="Calibri" w:hAnsi="Cambria" w:cs="Times New Roman"/>
          <w:i/>
          <w:color w:val="00194C"/>
          <w:sz w:val="24"/>
          <w:szCs w:val="24"/>
          <w:lang w:eastAsia="en-US"/>
        </w:rPr>
        <w:t>Dragana Orlic</w:t>
      </w:r>
      <w:r w:rsidR="002C7922" w:rsidRPr="005A7DAB">
        <w:rPr>
          <w:rFonts w:ascii="Cambria" w:eastAsia="Calibri" w:hAnsi="Cambria" w:cs="Times New Roman"/>
          <w:i/>
          <w:color w:val="00194C"/>
          <w:sz w:val="24"/>
          <w:szCs w:val="24"/>
          <w:lang w:eastAsia="en-US"/>
        </w:rPr>
        <w:t>,</w:t>
      </w:r>
      <w:r w:rsidR="00D96D78">
        <w:rPr>
          <w:rFonts w:ascii="Cambria" w:eastAsia="Calibri" w:hAnsi="Cambria" w:cs="Times New Roman"/>
          <w:i/>
          <w:color w:val="00194C"/>
          <w:sz w:val="24"/>
          <w:szCs w:val="24"/>
          <w:lang w:eastAsia="en-US"/>
        </w:rPr>
        <w:t xml:space="preserve"> Branko Lekovic of the</w:t>
      </w:r>
      <w:r w:rsidR="002C7922" w:rsidRPr="005A7DAB">
        <w:rPr>
          <w:rFonts w:ascii="Cambria" w:eastAsia="Calibri" w:hAnsi="Cambria" w:cs="Times New Roman"/>
          <w:i/>
          <w:color w:val="00194C"/>
          <w:sz w:val="24"/>
          <w:szCs w:val="24"/>
          <w:lang w:eastAsia="en-US"/>
        </w:rPr>
        <w:t xml:space="preserve"> </w:t>
      </w:r>
      <w:r w:rsidR="000F395F" w:rsidRPr="005A7DAB">
        <w:rPr>
          <w:rFonts w:ascii="Cambria" w:eastAsia="Calibri" w:hAnsi="Cambria" w:cs="Times New Roman"/>
          <w:i/>
          <w:color w:val="00194C"/>
          <w:sz w:val="24"/>
          <w:szCs w:val="24"/>
          <w:lang w:eastAsia="en-US"/>
        </w:rPr>
        <w:t>Electricity Coordinating Center</w:t>
      </w:r>
      <w:r w:rsidR="000F395F" w:rsidRPr="005A7DAB">
        <w:rPr>
          <w:rFonts w:ascii="Cambria" w:eastAsia="Calibri" w:hAnsi="Cambria" w:cs="Arial"/>
          <w:bCs/>
          <w:i/>
          <w:color w:val="00194C"/>
          <w:sz w:val="24"/>
          <w:szCs w:val="24"/>
          <w:lang w:eastAsia="en-US"/>
        </w:rPr>
        <w:t xml:space="preserve"> of Belgrade </w:t>
      </w:r>
    </w:p>
    <w:p w14:paraId="767A65F3" w14:textId="77777777" w:rsidR="00753A1C" w:rsidRPr="00634D1A" w:rsidRDefault="00753A1C" w:rsidP="00753A1C">
      <w:pPr>
        <w:pStyle w:val="ListParagraph"/>
        <w:numPr>
          <w:ilvl w:val="0"/>
          <w:numId w:val="22"/>
        </w:numPr>
        <w:spacing w:before="0" w:after="0" w:line="240" w:lineRule="auto"/>
        <w:jc w:val="both"/>
        <w:rPr>
          <w:rFonts w:ascii="Cambria" w:hAnsi="Cambria" w:cs="Times New Roman"/>
          <w:b/>
          <w:color w:val="00194C"/>
          <w:sz w:val="24"/>
          <w:szCs w:val="24"/>
        </w:rPr>
      </w:pPr>
      <w:r w:rsidRPr="00634D1A">
        <w:rPr>
          <w:rFonts w:ascii="Cambria" w:hAnsi="Cambria" w:cs="Times New Roman"/>
          <w:b/>
          <w:color w:val="00194C"/>
          <w:sz w:val="24"/>
          <w:szCs w:val="24"/>
        </w:rPr>
        <w:t>Review and Discuss:</w:t>
      </w:r>
    </w:p>
    <w:p w14:paraId="50A62213" w14:textId="77777777" w:rsidR="00753A1C" w:rsidRPr="006050FB" w:rsidRDefault="00753A1C" w:rsidP="00753A1C">
      <w:pPr>
        <w:pStyle w:val="ListParagraph"/>
        <w:numPr>
          <w:ilvl w:val="0"/>
          <w:numId w:val="21"/>
        </w:numPr>
        <w:spacing w:before="0" w:after="0" w:line="240" w:lineRule="auto"/>
        <w:jc w:val="both"/>
        <w:rPr>
          <w:rFonts w:ascii="Cambria" w:hAnsi="Cambria" w:cs="Times New Roman"/>
          <w:b/>
          <w:color w:val="00194C"/>
          <w:sz w:val="24"/>
          <w:szCs w:val="24"/>
        </w:rPr>
      </w:pPr>
      <w:r>
        <w:rPr>
          <w:rFonts w:ascii="Cambria" w:hAnsi="Cambria" w:cs="Times New Roman"/>
          <w:b/>
          <w:i/>
          <w:color w:val="00194C"/>
          <w:sz w:val="24"/>
          <w:szCs w:val="24"/>
        </w:rPr>
        <w:t xml:space="preserve">Generation Capacities Technical and Economic Data </w:t>
      </w:r>
    </w:p>
    <w:p w14:paraId="1076040E" w14:textId="77777777" w:rsidR="00753A1C" w:rsidRPr="00555B88" w:rsidRDefault="00753A1C" w:rsidP="00753A1C">
      <w:pPr>
        <w:pStyle w:val="ListParagraph"/>
        <w:numPr>
          <w:ilvl w:val="0"/>
          <w:numId w:val="21"/>
        </w:numPr>
        <w:spacing w:before="0" w:after="0" w:line="240" w:lineRule="auto"/>
        <w:jc w:val="both"/>
        <w:rPr>
          <w:rFonts w:ascii="Cambria" w:hAnsi="Cambria" w:cs="Times New Roman"/>
          <w:b/>
          <w:color w:val="00194C"/>
          <w:sz w:val="24"/>
          <w:szCs w:val="24"/>
        </w:rPr>
      </w:pPr>
      <w:r>
        <w:rPr>
          <w:rFonts w:ascii="Cambria" w:hAnsi="Cambria" w:cs="Times New Roman"/>
          <w:b/>
          <w:i/>
          <w:color w:val="00194C"/>
          <w:sz w:val="24"/>
          <w:szCs w:val="24"/>
        </w:rPr>
        <w:t>NTCs Values</w:t>
      </w:r>
    </w:p>
    <w:p w14:paraId="1A8635B3" w14:textId="77777777" w:rsidR="00753A1C" w:rsidRPr="008C44C4" w:rsidRDefault="00753A1C" w:rsidP="00753A1C">
      <w:pPr>
        <w:pStyle w:val="ListParagraph"/>
        <w:numPr>
          <w:ilvl w:val="0"/>
          <w:numId w:val="21"/>
        </w:numPr>
        <w:spacing w:before="0" w:after="0" w:line="240" w:lineRule="auto"/>
        <w:jc w:val="both"/>
        <w:rPr>
          <w:rFonts w:ascii="Cambria" w:hAnsi="Cambria" w:cs="Times New Roman"/>
          <w:b/>
          <w:color w:val="00194C"/>
          <w:sz w:val="24"/>
          <w:szCs w:val="24"/>
        </w:rPr>
      </w:pPr>
      <w:r>
        <w:rPr>
          <w:rFonts w:ascii="Cambria" w:hAnsi="Cambria" w:cs="Times New Roman"/>
          <w:b/>
          <w:i/>
          <w:color w:val="00194C"/>
          <w:sz w:val="24"/>
          <w:szCs w:val="24"/>
        </w:rPr>
        <w:t xml:space="preserve">National Network Models </w:t>
      </w:r>
    </w:p>
    <w:p w14:paraId="29C6D8BD" w14:textId="77777777" w:rsidR="00753A1C" w:rsidRPr="00634D1A" w:rsidRDefault="00753A1C" w:rsidP="00753A1C">
      <w:pPr>
        <w:pStyle w:val="ListParagraph"/>
        <w:numPr>
          <w:ilvl w:val="0"/>
          <w:numId w:val="22"/>
        </w:numPr>
        <w:spacing w:before="0" w:after="0" w:line="240" w:lineRule="auto"/>
        <w:jc w:val="both"/>
        <w:rPr>
          <w:rFonts w:ascii="Cambria" w:hAnsi="Cambria" w:cs="Times New Roman"/>
          <w:b/>
          <w:color w:val="00194C"/>
          <w:sz w:val="24"/>
          <w:szCs w:val="24"/>
        </w:rPr>
      </w:pPr>
      <w:r w:rsidRPr="00634D1A">
        <w:rPr>
          <w:rFonts w:ascii="Cambria" w:hAnsi="Cambria" w:cs="Times New Roman"/>
          <w:b/>
          <w:color w:val="00194C"/>
          <w:sz w:val="24"/>
          <w:szCs w:val="24"/>
        </w:rPr>
        <w:t>Review and Approved:</w:t>
      </w:r>
    </w:p>
    <w:p w14:paraId="4C7593CA" w14:textId="77777777" w:rsidR="00753A1C" w:rsidRPr="007E2915" w:rsidRDefault="00753A1C" w:rsidP="00753A1C">
      <w:pPr>
        <w:pStyle w:val="ListParagraph"/>
        <w:numPr>
          <w:ilvl w:val="0"/>
          <w:numId w:val="21"/>
        </w:numPr>
        <w:spacing w:before="0" w:after="0" w:line="240" w:lineRule="auto"/>
        <w:jc w:val="both"/>
        <w:rPr>
          <w:rFonts w:ascii="Cambria" w:hAnsi="Cambria" w:cs="Times New Roman"/>
          <w:b/>
          <w:color w:val="00194C"/>
          <w:sz w:val="24"/>
          <w:szCs w:val="24"/>
        </w:rPr>
      </w:pPr>
      <w:r>
        <w:rPr>
          <w:rFonts w:ascii="Cambria" w:hAnsi="Cambria" w:cs="Times New Roman"/>
          <w:b/>
          <w:i/>
          <w:iCs/>
          <w:color w:val="00194C"/>
          <w:sz w:val="24"/>
          <w:szCs w:val="24"/>
        </w:rPr>
        <w:t>Methodology</w:t>
      </w:r>
    </w:p>
    <w:p w14:paraId="5BEE0940" w14:textId="1596991B" w:rsidR="00237159" w:rsidRPr="00753A1C" w:rsidRDefault="00753A1C" w:rsidP="00753A1C">
      <w:pPr>
        <w:pStyle w:val="ListParagraph"/>
        <w:numPr>
          <w:ilvl w:val="0"/>
          <w:numId w:val="21"/>
        </w:numPr>
        <w:spacing w:before="0" w:after="0" w:line="240" w:lineRule="auto"/>
        <w:jc w:val="both"/>
        <w:rPr>
          <w:rFonts w:ascii="Cambria" w:hAnsi="Cambria" w:cs="Times New Roman"/>
          <w:b/>
          <w:color w:val="00194C"/>
          <w:sz w:val="24"/>
          <w:szCs w:val="24"/>
        </w:rPr>
      </w:pPr>
      <w:r>
        <w:rPr>
          <w:rFonts w:ascii="Cambria" w:hAnsi="Cambria" w:cs="Times New Roman"/>
          <w:b/>
          <w:i/>
          <w:iCs/>
          <w:color w:val="00194C"/>
          <w:sz w:val="24"/>
          <w:szCs w:val="24"/>
        </w:rPr>
        <w:t xml:space="preserve">Scenarios and Regimes </w:t>
      </w:r>
    </w:p>
    <w:p w14:paraId="6C440393" w14:textId="77777777" w:rsidR="00753A1C" w:rsidRDefault="00753A1C" w:rsidP="00A942A7">
      <w:pPr>
        <w:tabs>
          <w:tab w:val="left" w:pos="0"/>
          <w:tab w:val="left" w:pos="720"/>
        </w:tabs>
        <w:spacing w:before="0" w:after="0" w:line="240" w:lineRule="auto"/>
        <w:rPr>
          <w:rFonts w:ascii="Cambria" w:eastAsia="Times New Roman" w:hAnsi="Cambria" w:cs="Times New Roman"/>
          <w:b/>
          <w:color w:val="00194C"/>
          <w:sz w:val="24"/>
          <w:szCs w:val="24"/>
          <w:lang w:eastAsia="en-US"/>
        </w:rPr>
      </w:pPr>
    </w:p>
    <w:p w14:paraId="559286FC" w14:textId="1E0977C2" w:rsidR="000F395F" w:rsidRPr="005A7DAB" w:rsidRDefault="00A942A7" w:rsidP="00A942A7">
      <w:pPr>
        <w:tabs>
          <w:tab w:val="left" w:pos="0"/>
          <w:tab w:val="left" w:pos="720"/>
        </w:tabs>
        <w:spacing w:before="0" w:after="0" w:line="240" w:lineRule="auto"/>
        <w:rPr>
          <w:rFonts w:ascii="Cambria" w:eastAsia="Times New Roman" w:hAnsi="Cambria" w:cs="Times New Roman"/>
          <w:b/>
          <w:color w:val="00194C"/>
          <w:sz w:val="24"/>
          <w:szCs w:val="24"/>
          <w:lang w:eastAsia="en-US"/>
        </w:rPr>
      </w:pPr>
      <w:r w:rsidRPr="005A7DAB">
        <w:rPr>
          <w:rFonts w:ascii="Cambria" w:eastAsia="Times New Roman" w:hAnsi="Cambria" w:cs="Times New Roman"/>
          <w:b/>
          <w:color w:val="00194C"/>
          <w:sz w:val="24"/>
          <w:szCs w:val="24"/>
          <w:lang w:eastAsia="en-US"/>
        </w:rPr>
        <w:t>CONCLUDING REMARKS</w:t>
      </w:r>
    </w:p>
    <w:p w14:paraId="71516156" w14:textId="77777777" w:rsidR="000F395F" w:rsidRPr="005A7DAB" w:rsidRDefault="000F395F" w:rsidP="00A25CA0">
      <w:pPr>
        <w:numPr>
          <w:ilvl w:val="0"/>
          <w:numId w:val="10"/>
        </w:numPr>
        <w:tabs>
          <w:tab w:val="left" w:pos="360"/>
        </w:tabs>
        <w:spacing w:before="0" w:after="0" w:line="240" w:lineRule="auto"/>
        <w:contextualSpacing/>
        <w:rPr>
          <w:rFonts w:ascii="Cambria" w:eastAsia="Calibri" w:hAnsi="Cambria" w:cs="Times New Roman"/>
          <w:b/>
          <w:color w:val="00194C"/>
          <w:sz w:val="24"/>
          <w:szCs w:val="24"/>
          <w:lang w:eastAsia="en-US"/>
        </w:rPr>
      </w:pPr>
      <w:r w:rsidRPr="005A7DAB">
        <w:rPr>
          <w:rFonts w:ascii="Cambria" w:eastAsia="Calibri" w:hAnsi="Cambria" w:cs="Times New Roman"/>
          <w:i/>
          <w:color w:val="00194C"/>
          <w:sz w:val="24"/>
          <w:szCs w:val="24"/>
          <w:lang w:eastAsia="en-US"/>
        </w:rPr>
        <w:t>William L. Polen, United States Energy Association</w:t>
      </w:r>
    </w:p>
    <w:p w14:paraId="5A1020BE" w14:textId="70595266" w:rsidR="00E538CE" w:rsidRDefault="00E538CE" w:rsidP="000F395F">
      <w:pPr>
        <w:tabs>
          <w:tab w:val="left" w:pos="360"/>
        </w:tabs>
        <w:spacing w:before="0" w:after="0" w:line="240" w:lineRule="auto"/>
        <w:contextualSpacing/>
        <w:rPr>
          <w:rFonts w:ascii="Cambria" w:eastAsia="Times New Roman" w:hAnsi="Cambria" w:cs="Times New Roman"/>
          <w:b/>
          <w:color w:val="00194C"/>
          <w:sz w:val="24"/>
          <w:szCs w:val="24"/>
          <w:lang w:eastAsia="en-US"/>
        </w:rPr>
      </w:pPr>
    </w:p>
    <w:p w14:paraId="2DBB1608" w14:textId="77777777" w:rsidR="00395ABE" w:rsidRPr="005A7DAB" w:rsidRDefault="00395ABE" w:rsidP="000F395F">
      <w:pPr>
        <w:tabs>
          <w:tab w:val="left" w:pos="360"/>
        </w:tabs>
        <w:spacing w:before="0" w:after="0" w:line="240" w:lineRule="auto"/>
        <w:contextualSpacing/>
        <w:rPr>
          <w:rFonts w:ascii="Cambria" w:eastAsia="Times New Roman" w:hAnsi="Cambria" w:cs="Times New Roman"/>
          <w:b/>
          <w:color w:val="00194C"/>
          <w:sz w:val="24"/>
          <w:szCs w:val="24"/>
          <w:lang w:eastAsia="en-US"/>
        </w:rPr>
      </w:pPr>
    </w:p>
    <w:sectPr w:rsidR="00395ABE" w:rsidRPr="005A7DAB">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CE365" w14:textId="77777777" w:rsidR="00B068F9" w:rsidRDefault="00B068F9">
      <w:r>
        <w:separator/>
      </w:r>
    </w:p>
  </w:endnote>
  <w:endnote w:type="continuationSeparator" w:id="0">
    <w:p w14:paraId="236EA31E" w14:textId="77777777" w:rsidR="00B068F9" w:rsidRDefault="00B0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28AB" w14:textId="77777777" w:rsidR="00A667BA" w:rsidRDefault="00A667BA" w:rsidP="00A667BA">
    <w:pPr>
      <w:pStyle w:val="Footer"/>
    </w:pPr>
    <w:r>
      <w:t xml:space="preserve">Page </w:t>
    </w:r>
    <w:r>
      <w:fldChar w:fldCharType="begin"/>
    </w:r>
    <w:r>
      <w:instrText xml:space="preserve"> PAGE   \* MERGEFORMAT </w:instrText>
    </w:r>
    <w:r>
      <w:fldChar w:fldCharType="separate"/>
    </w:r>
    <w:r w:rsidR="00ED68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1CADD" w14:textId="77777777" w:rsidR="00B068F9" w:rsidRDefault="00B068F9">
      <w:r>
        <w:separator/>
      </w:r>
    </w:p>
  </w:footnote>
  <w:footnote w:type="continuationSeparator" w:id="0">
    <w:p w14:paraId="36B200BE" w14:textId="77777777" w:rsidR="00B068F9" w:rsidRDefault="00B06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8555B1"/>
    <w:multiLevelType w:val="hybridMultilevel"/>
    <w:tmpl w:val="675496F0"/>
    <w:lvl w:ilvl="0" w:tplc="FCD87FC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8335B6"/>
    <w:multiLevelType w:val="hybridMultilevel"/>
    <w:tmpl w:val="70643A70"/>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1" w15:restartNumberingAfterBreak="0">
    <w:nsid w:val="1226746A"/>
    <w:multiLevelType w:val="hybridMultilevel"/>
    <w:tmpl w:val="0E646A0A"/>
    <w:lvl w:ilvl="0" w:tplc="FCD87FC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06492B"/>
    <w:multiLevelType w:val="hybridMultilevel"/>
    <w:tmpl w:val="5D946310"/>
    <w:lvl w:ilvl="0" w:tplc="FCD87FCE">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7554B58"/>
    <w:multiLevelType w:val="hybridMultilevel"/>
    <w:tmpl w:val="A58E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A5423"/>
    <w:multiLevelType w:val="hybridMultilevel"/>
    <w:tmpl w:val="AC3639E0"/>
    <w:lvl w:ilvl="0" w:tplc="FCD87FC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832423"/>
    <w:multiLevelType w:val="hybridMultilevel"/>
    <w:tmpl w:val="34A02784"/>
    <w:lvl w:ilvl="0" w:tplc="30DCE538">
      <w:numFmt w:val="bullet"/>
      <w:lvlText w:val="-"/>
      <w:lvlJc w:val="left"/>
      <w:pPr>
        <w:ind w:left="1440" w:hanging="360"/>
      </w:pPr>
      <w:rPr>
        <w:rFonts w:ascii="Cambria" w:eastAsiaTheme="minorEastAsia" w:hAnsi="Cambria"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5A4A9E"/>
    <w:multiLevelType w:val="hybridMultilevel"/>
    <w:tmpl w:val="072EAFFA"/>
    <w:lvl w:ilvl="0" w:tplc="6764FD7C">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1627E"/>
    <w:multiLevelType w:val="hybridMultilevel"/>
    <w:tmpl w:val="56508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E72928"/>
    <w:multiLevelType w:val="hybridMultilevel"/>
    <w:tmpl w:val="1060A4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9421E3"/>
    <w:multiLevelType w:val="hybridMultilevel"/>
    <w:tmpl w:val="45F8CC6E"/>
    <w:lvl w:ilvl="0" w:tplc="20B04E5A">
      <w:numFmt w:val="bullet"/>
      <w:lvlText w:val="-"/>
      <w:lvlJc w:val="left"/>
      <w:pPr>
        <w:ind w:left="1080" w:hanging="360"/>
      </w:pPr>
      <w:rPr>
        <w:rFonts w:ascii="Cambria" w:eastAsiaTheme="minorEastAs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EE4631"/>
    <w:multiLevelType w:val="hybridMultilevel"/>
    <w:tmpl w:val="AEE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67274"/>
    <w:multiLevelType w:val="multilevel"/>
    <w:tmpl w:val="5406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6B5A2C"/>
    <w:multiLevelType w:val="hybridMultilevel"/>
    <w:tmpl w:val="0AAE0732"/>
    <w:lvl w:ilvl="0" w:tplc="FCD87FC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18"/>
  </w:num>
  <w:num w:numId="13">
    <w:abstractNumId w:val="13"/>
  </w:num>
  <w:num w:numId="14">
    <w:abstractNumId w:val="20"/>
  </w:num>
  <w:num w:numId="15">
    <w:abstractNumId w:val="12"/>
  </w:num>
  <w:num w:numId="16">
    <w:abstractNumId w:val="22"/>
  </w:num>
  <w:num w:numId="17">
    <w:abstractNumId w:val="17"/>
  </w:num>
  <w:num w:numId="18">
    <w:abstractNumId w:val="10"/>
  </w:num>
  <w:num w:numId="19">
    <w:abstractNumId w:val="16"/>
  </w:num>
  <w:num w:numId="20">
    <w:abstractNumId w:val="19"/>
  </w:num>
  <w:num w:numId="21">
    <w:abstractNumId w:val="15"/>
  </w:num>
  <w:num w:numId="22">
    <w:abstractNumId w:val="14"/>
  </w:num>
  <w:num w:numId="2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5F"/>
    <w:rsid w:val="00061B29"/>
    <w:rsid w:val="00071780"/>
    <w:rsid w:val="00082E93"/>
    <w:rsid w:val="00084AE6"/>
    <w:rsid w:val="00092DCA"/>
    <w:rsid w:val="000C4AFA"/>
    <w:rsid w:val="000C4DD6"/>
    <w:rsid w:val="000E01CD"/>
    <w:rsid w:val="000E165A"/>
    <w:rsid w:val="000F395F"/>
    <w:rsid w:val="00107EA4"/>
    <w:rsid w:val="00111F5C"/>
    <w:rsid w:val="00114CA1"/>
    <w:rsid w:val="00151BE1"/>
    <w:rsid w:val="00164F9A"/>
    <w:rsid w:val="00175520"/>
    <w:rsid w:val="00180B20"/>
    <w:rsid w:val="001A041B"/>
    <w:rsid w:val="001A76D9"/>
    <w:rsid w:val="001B4D7F"/>
    <w:rsid w:val="001C400D"/>
    <w:rsid w:val="001C478F"/>
    <w:rsid w:val="001C6304"/>
    <w:rsid w:val="001E1CBC"/>
    <w:rsid w:val="00200B4D"/>
    <w:rsid w:val="00217FA0"/>
    <w:rsid w:val="00234877"/>
    <w:rsid w:val="00234D4E"/>
    <w:rsid w:val="00237159"/>
    <w:rsid w:val="00267B5F"/>
    <w:rsid w:val="00286A12"/>
    <w:rsid w:val="002B77B9"/>
    <w:rsid w:val="002C3D38"/>
    <w:rsid w:val="002C7922"/>
    <w:rsid w:val="002E05D7"/>
    <w:rsid w:val="00321736"/>
    <w:rsid w:val="00322AA9"/>
    <w:rsid w:val="00330741"/>
    <w:rsid w:val="00354D4E"/>
    <w:rsid w:val="0036361F"/>
    <w:rsid w:val="00365C3E"/>
    <w:rsid w:val="00395ABE"/>
    <w:rsid w:val="003A7617"/>
    <w:rsid w:val="003B086C"/>
    <w:rsid w:val="003D3A53"/>
    <w:rsid w:val="003F4143"/>
    <w:rsid w:val="00413775"/>
    <w:rsid w:val="00461CEE"/>
    <w:rsid w:val="00473D26"/>
    <w:rsid w:val="00480E6D"/>
    <w:rsid w:val="00481811"/>
    <w:rsid w:val="0049133F"/>
    <w:rsid w:val="0049237B"/>
    <w:rsid w:val="004B63E1"/>
    <w:rsid w:val="004C59BC"/>
    <w:rsid w:val="004D08A9"/>
    <w:rsid w:val="004E0E1D"/>
    <w:rsid w:val="004E31A5"/>
    <w:rsid w:val="0050451C"/>
    <w:rsid w:val="0051361F"/>
    <w:rsid w:val="00521087"/>
    <w:rsid w:val="005335D6"/>
    <w:rsid w:val="00555B88"/>
    <w:rsid w:val="00564EE6"/>
    <w:rsid w:val="00577258"/>
    <w:rsid w:val="005A7DAB"/>
    <w:rsid w:val="005C75C2"/>
    <w:rsid w:val="005F53FF"/>
    <w:rsid w:val="00604FBD"/>
    <w:rsid w:val="006050FB"/>
    <w:rsid w:val="00634D1A"/>
    <w:rsid w:val="00646228"/>
    <w:rsid w:val="006848C4"/>
    <w:rsid w:val="00697660"/>
    <w:rsid w:val="006F1651"/>
    <w:rsid w:val="007267F0"/>
    <w:rsid w:val="007275C5"/>
    <w:rsid w:val="007279C1"/>
    <w:rsid w:val="00732406"/>
    <w:rsid w:val="00750B10"/>
    <w:rsid w:val="00753A1C"/>
    <w:rsid w:val="00761DEA"/>
    <w:rsid w:val="0079390E"/>
    <w:rsid w:val="007D29C8"/>
    <w:rsid w:val="007D3D6F"/>
    <w:rsid w:val="007D57CE"/>
    <w:rsid w:val="007E165B"/>
    <w:rsid w:val="007E253E"/>
    <w:rsid w:val="007E2915"/>
    <w:rsid w:val="007F782E"/>
    <w:rsid w:val="00802038"/>
    <w:rsid w:val="0084409C"/>
    <w:rsid w:val="00893282"/>
    <w:rsid w:val="008A52E4"/>
    <w:rsid w:val="008A5D17"/>
    <w:rsid w:val="008A62F9"/>
    <w:rsid w:val="008C44C4"/>
    <w:rsid w:val="008E5603"/>
    <w:rsid w:val="0092131B"/>
    <w:rsid w:val="00942FF8"/>
    <w:rsid w:val="009867EE"/>
    <w:rsid w:val="009A0C49"/>
    <w:rsid w:val="009C4FB6"/>
    <w:rsid w:val="00A11B9D"/>
    <w:rsid w:val="00A25CA0"/>
    <w:rsid w:val="00A3660E"/>
    <w:rsid w:val="00A667BA"/>
    <w:rsid w:val="00A70088"/>
    <w:rsid w:val="00A90C73"/>
    <w:rsid w:val="00A93CA3"/>
    <w:rsid w:val="00A942A7"/>
    <w:rsid w:val="00AA1798"/>
    <w:rsid w:val="00AB1FF9"/>
    <w:rsid w:val="00AE63A4"/>
    <w:rsid w:val="00AF6C5C"/>
    <w:rsid w:val="00B0594B"/>
    <w:rsid w:val="00B068F9"/>
    <w:rsid w:val="00B200FF"/>
    <w:rsid w:val="00B36AB3"/>
    <w:rsid w:val="00B4440F"/>
    <w:rsid w:val="00B513EA"/>
    <w:rsid w:val="00B62D20"/>
    <w:rsid w:val="00B95DB4"/>
    <w:rsid w:val="00B97BBD"/>
    <w:rsid w:val="00BB0A66"/>
    <w:rsid w:val="00BB4BF0"/>
    <w:rsid w:val="00BC066E"/>
    <w:rsid w:val="00BD7100"/>
    <w:rsid w:val="00C20ADB"/>
    <w:rsid w:val="00C22313"/>
    <w:rsid w:val="00C300B0"/>
    <w:rsid w:val="00C60896"/>
    <w:rsid w:val="00C80154"/>
    <w:rsid w:val="00CA1942"/>
    <w:rsid w:val="00D14E0E"/>
    <w:rsid w:val="00D235B5"/>
    <w:rsid w:val="00D447E5"/>
    <w:rsid w:val="00D51668"/>
    <w:rsid w:val="00D827D1"/>
    <w:rsid w:val="00D8320C"/>
    <w:rsid w:val="00D92060"/>
    <w:rsid w:val="00D96D78"/>
    <w:rsid w:val="00DB5004"/>
    <w:rsid w:val="00DE3B3C"/>
    <w:rsid w:val="00DF2A07"/>
    <w:rsid w:val="00DF32F7"/>
    <w:rsid w:val="00E02596"/>
    <w:rsid w:val="00E156DA"/>
    <w:rsid w:val="00E45320"/>
    <w:rsid w:val="00E538CE"/>
    <w:rsid w:val="00E63A1A"/>
    <w:rsid w:val="00E75409"/>
    <w:rsid w:val="00E83FF3"/>
    <w:rsid w:val="00EA2D3B"/>
    <w:rsid w:val="00EB4FBE"/>
    <w:rsid w:val="00EC7169"/>
    <w:rsid w:val="00ED6850"/>
    <w:rsid w:val="00F13B5E"/>
    <w:rsid w:val="00F64388"/>
    <w:rsid w:val="00F66909"/>
    <w:rsid w:val="00F9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822B2A"/>
  <w15:chartTrackingRefBased/>
  <w15:docId w15:val="{4FA40428-06D2-49B6-B477-0CC5EDC8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3"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semiHidden/>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1"/>
      </w:numPr>
      <w:contextualSpacing/>
    </w:pPr>
  </w:style>
  <w:style w:type="paragraph" w:styleId="ListBullet2">
    <w:name w:val="List Bullet 2"/>
    <w:basedOn w:val="Normal"/>
    <w:uiPriority w:val="99"/>
    <w:semiHidden/>
    <w:unhideWhenUsed/>
    <w:rsid w:val="00F64388"/>
    <w:pPr>
      <w:numPr>
        <w:numId w:val="2"/>
      </w:numPr>
      <w:contextualSpacing/>
    </w:pPr>
  </w:style>
  <w:style w:type="paragraph" w:styleId="ListBullet3">
    <w:name w:val="List Bullet 3"/>
    <w:basedOn w:val="Normal"/>
    <w:uiPriority w:val="99"/>
    <w:semiHidden/>
    <w:unhideWhenUsed/>
    <w:rsid w:val="00F64388"/>
    <w:pPr>
      <w:numPr>
        <w:numId w:val="3"/>
      </w:numPr>
      <w:contextualSpacing/>
    </w:pPr>
  </w:style>
  <w:style w:type="paragraph" w:styleId="ListBullet4">
    <w:name w:val="List Bullet 4"/>
    <w:basedOn w:val="Normal"/>
    <w:uiPriority w:val="99"/>
    <w:semiHidden/>
    <w:unhideWhenUsed/>
    <w:rsid w:val="00F64388"/>
    <w:pPr>
      <w:numPr>
        <w:numId w:val="4"/>
      </w:numPr>
      <w:contextualSpacing/>
    </w:pPr>
  </w:style>
  <w:style w:type="paragraph" w:styleId="ListBullet5">
    <w:name w:val="List Bullet 5"/>
    <w:basedOn w:val="Normal"/>
    <w:uiPriority w:val="99"/>
    <w:semiHidden/>
    <w:unhideWhenUsed/>
    <w:rsid w:val="00F64388"/>
    <w:pPr>
      <w:numPr>
        <w:numId w:val="5"/>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6"/>
      </w:numPr>
      <w:contextualSpacing/>
    </w:pPr>
  </w:style>
  <w:style w:type="paragraph" w:styleId="ListNumber3">
    <w:name w:val="List Number 3"/>
    <w:basedOn w:val="Normal"/>
    <w:uiPriority w:val="99"/>
    <w:semiHidden/>
    <w:unhideWhenUsed/>
    <w:rsid w:val="00F64388"/>
    <w:pPr>
      <w:numPr>
        <w:numId w:val="7"/>
      </w:numPr>
      <w:contextualSpacing/>
    </w:pPr>
  </w:style>
  <w:style w:type="paragraph" w:styleId="ListNumber4">
    <w:name w:val="List Number 4"/>
    <w:basedOn w:val="Normal"/>
    <w:uiPriority w:val="99"/>
    <w:semiHidden/>
    <w:unhideWhenUsed/>
    <w:rsid w:val="00F64388"/>
    <w:pPr>
      <w:numPr>
        <w:numId w:val="8"/>
      </w:numPr>
      <w:contextualSpacing/>
    </w:pPr>
  </w:style>
  <w:style w:type="paragraph" w:styleId="ListNumber5">
    <w:name w:val="List Number 5"/>
    <w:basedOn w:val="Normal"/>
    <w:uiPriority w:val="99"/>
    <w:semiHidden/>
    <w:unhideWhenUsed/>
    <w:rsid w:val="00F64388"/>
    <w:pPr>
      <w:numPr>
        <w:numId w:val="9"/>
      </w:numPr>
      <w:contextualSpacing/>
    </w:pPr>
  </w:style>
  <w:style w:type="paragraph" w:styleId="ListParagraph">
    <w:name w:val="List Paragraph"/>
    <w:aliases w:val="EKC List Paragraph,FM"/>
    <w:basedOn w:val="Normal"/>
    <w:link w:val="ListParagraphChar"/>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99"/>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 w:type="character" w:customStyle="1" w:styleId="ListParagraphChar">
    <w:name w:val="List Paragraph Char"/>
    <w:aliases w:val="EKC List Paragraph Char,FM Char"/>
    <w:link w:val="ListParagraph"/>
    <w:uiPriority w:val="34"/>
    <w:rsid w:val="00BD7100"/>
    <w:rPr>
      <w:szCs w:val="21"/>
    </w:rPr>
  </w:style>
  <w:style w:type="character" w:customStyle="1" w:styleId="inv-subject">
    <w:name w:val="inv-subject"/>
    <w:basedOn w:val="DefaultParagraphFont"/>
    <w:rsid w:val="000E165A"/>
  </w:style>
  <w:style w:type="character" w:customStyle="1" w:styleId="inv-date">
    <w:name w:val="inv-date"/>
    <w:basedOn w:val="DefaultParagraphFont"/>
    <w:rsid w:val="000E165A"/>
  </w:style>
  <w:style w:type="character" w:customStyle="1" w:styleId="inv-meeting-url">
    <w:name w:val="inv-meeting-url"/>
    <w:basedOn w:val="DefaultParagraphFont"/>
    <w:rsid w:val="000E165A"/>
  </w:style>
  <w:style w:type="paragraph" w:customStyle="1" w:styleId="t-16">
    <w:name w:val="t-16"/>
    <w:basedOn w:val="Normal"/>
    <w:rsid w:val="00EA2D3B"/>
    <w:pPr>
      <w:spacing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69452">
      <w:bodyDiv w:val="1"/>
      <w:marLeft w:val="0"/>
      <w:marRight w:val="0"/>
      <w:marTop w:val="0"/>
      <w:marBottom w:val="0"/>
      <w:divBdr>
        <w:top w:val="none" w:sz="0" w:space="0" w:color="auto"/>
        <w:left w:val="none" w:sz="0" w:space="0" w:color="auto"/>
        <w:bottom w:val="none" w:sz="0" w:space="0" w:color="auto"/>
        <w:right w:val="none" w:sz="0" w:space="0" w:color="auto"/>
      </w:divBdr>
    </w:div>
    <w:div w:id="314841642">
      <w:bodyDiv w:val="1"/>
      <w:marLeft w:val="0"/>
      <w:marRight w:val="0"/>
      <w:marTop w:val="0"/>
      <w:marBottom w:val="0"/>
      <w:divBdr>
        <w:top w:val="none" w:sz="0" w:space="0" w:color="auto"/>
        <w:left w:val="none" w:sz="0" w:space="0" w:color="auto"/>
        <w:bottom w:val="none" w:sz="0" w:space="0" w:color="auto"/>
        <w:right w:val="none" w:sz="0" w:space="0" w:color="auto"/>
      </w:divBdr>
    </w:div>
    <w:div w:id="474685161">
      <w:bodyDiv w:val="1"/>
      <w:marLeft w:val="0"/>
      <w:marRight w:val="0"/>
      <w:marTop w:val="0"/>
      <w:marBottom w:val="0"/>
      <w:divBdr>
        <w:top w:val="none" w:sz="0" w:space="0" w:color="auto"/>
        <w:left w:val="none" w:sz="0" w:space="0" w:color="auto"/>
        <w:bottom w:val="none" w:sz="0" w:space="0" w:color="auto"/>
        <w:right w:val="none" w:sz="0" w:space="0" w:color="auto"/>
      </w:divBdr>
    </w:div>
    <w:div w:id="558175414">
      <w:bodyDiv w:val="1"/>
      <w:marLeft w:val="0"/>
      <w:marRight w:val="0"/>
      <w:marTop w:val="0"/>
      <w:marBottom w:val="0"/>
      <w:divBdr>
        <w:top w:val="none" w:sz="0" w:space="0" w:color="auto"/>
        <w:left w:val="none" w:sz="0" w:space="0" w:color="auto"/>
        <w:bottom w:val="none" w:sz="0" w:space="0" w:color="auto"/>
        <w:right w:val="none" w:sz="0" w:space="0" w:color="auto"/>
      </w:divBdr>
    </w:div>
    <w:div w:id="624770655">
      <w:bodyDiv w:val="1"/>
      <w:marLeft w:val="0"/>
      <w:marRight w:val="0"/>
      <w:marTop w:val="0"/>
      <w:marBottom w:val="0"/>
      <w:divBdr>
        <w:top w:val="none" w:sz="0" w:space="0" w:color="auto"/>
        <w:left w:val="none" w:sz="0" w:space="0" w:color="auto"/>
        <w:bottom w:val="none" w:sz="0" w:space="0" w:color="auto"/>
        <w:right w:val="none" w:sz="0" w:space="0" w:color="auto"/>
      </w:divBdr>
    </w:div>
    <w:div w:id="1168397828">
      <w:bodyDiv w:val="1"/>
      <w:marLeft w:val="0"/>
      <w:marRight w:val="0"/>
      <w:marTop w:val="0"/>
      <w:marBottom w:val="0"/>
      <w:divBdr>
        <w:top w:val="none" w:sz="0" w:space="0" w:color="auto"/>
        <w:left w:val="none" w:sz="0" w:space="0" w:color="auto"/>
        <w:bottom w:val="none" w:sz="0" w:space="0" w:color="auto"/>
        <w:right w:val="none" w:sz="0" w:space="0" w:color="auto"/>
      </w:divBdr>
    </w:div>
    <w:div w:id="1180581534">
      <w:bodyDiv w:val="1"/>
      <w:marLeft w:val="0"/>
      <w:marRight w:val="0"/>
      <w:marTop w:val="0"/>
      <w:marBottom w:val="0"/>
      <w:divBdr>
        <w:top w:val="none" w:sz="0" w:space="0" w:color="auto"/>
        <w:left w:val="none" w:sz="0" w:space="0" w:color="auto"/>
        <w:bottom w:val="none" w:sz="0" w:space="0" w:color="auto"/>
        <w:right w:val="none" w:sz="0" w:space="0" w:color="auto"/>
      </w:divBdr>
    </w:div>
    <w:div w:id="13977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lobal.gotomeeting.com/join/48733077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ialy\Downloads\TF0346308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B1DB5FDCFE940B86B249945A27EFC" ma:contentTypeVersion="4" ma:contentTypeDescription="Create a new document." ma:contentTypeScope="" ma:versionID="68b5ac15407e61201e3e9df73e46bd65">
  <xsd:schema xmlns:xsd="http://www.w3.org/2001/XMLSchema" xmlns:xs="http://www.w3.org/2001/XMLSchema" xmlns:p="http://schemas.microsoft.com/office/2006/metadata/properties" xmlns:ns3="31b1e1ca-9107-4e33-b34e-d6cb41d982ad" targetNamespace="http://schemas.microsoft.com/office/2006/metadata/properties" ma:root="true" ma:fieldsID="f987107cbb3207820a41bb8433c94796" ns3:_="">
    <xsd:import namespace="31b1e1ca-9107-4e33-b34e-d6cb41d982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1e1ca-9107-4e33-b34e-d6cb41d98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76636-2AEA-41EC-B5F2-46F9D8E9A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1e1ca-9107-4e33-b34e-d6cb41d98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9ED7A8-A63D-4317-A8D5-8724B0AD78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TF03463087</Template>
  <TotalTime>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Bialy, Beata</dc:creator>
  <cp:lastModifiedBy>Bialy, Beata</cp:lastModifiedBy>
  <cp:revision>3</cp:revision>
  <cp:lastPrinted>2019-09-17T19:09:00Z</cp:lastPrinted>
  <dcterms:created xsi:type="dcterms:W3CDTF">2020-05-22T15:19:00Z</dcterms:created>
  <dcterms:modified xsi:type="dcterms:W3CDTF">2020-05-22T19:26:00Z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0x010100F18B1DB5FDCFE940B86B249945A27EFC</vt:lpwstr>
  </property>
</Properties>
</file>