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12733" w14:textId="77777777" w:rsidR="00B10289" w:rsidRPr="004505CF" w:rsidRDefault="00B10289" w:rsidP="00B10289">
      <w:pPr>
        <w:jc w:val="center"/>
        <w:rPr>
          <w:rFonts w:asciiTheme="majorHAnsi" w:hAnsiTheme="majorHAnsi"/>
          <w:b/>
          <w:sz w:val="32"/>
          <w:u w:val="single"/>
        </w:rPr>
      </w:pPr>
      <w:r w:rsidRPr="004505CF">
        <w:rPr>
          <w:rFonts w:asciiTheme="majorHAnsi" w:hAnsiTheme="majorHAnsi"/>
          <w:b/>
          <w:sz w:val="32"/>
          <w:u w:val="single"/>
        </w:rPr>
        <w:t>Principal Recommendations</w:t>
      </w:r>
    </w:p>
    <w:p w14:paraId="3359B32F" w14:textId="77777777" w:rsidR="00B10289" w:rsidRPr="004505CF" w:rsidRDefault="00B10289" w:rsidP="00B10289">
      <w:pPr>
        <w:jc w:val="center"/>
        <w:rPr>
          <w:rFonts w:asciiTheme="majorHAnsi" w:hAnsiTheme="majorHAnsi"/>
          <w:b/>
          <w:i/>
        </w:rPr>
      </w:pPr>
      <w:r w:rsidRPr="004505CF">
        <w:rPr>
          <w:rFonts w:asciiTheme="majorHAnsi" w:hAnsiTheme="majorHAnsi"/>
          <w:b/>
          <w:i/>
        </w:rPr>
        <w:t>The most impactful action the U.S. can employ to reduce CO</w:t>
      </w:r>
      <w:r w:rsidRPr="004505CF">
        <w:rPr>
          <w:rFonts w:asciiTheme="majorHAnsi" w:hAnsiTheme="majorHAnsi"/>
          <w:b/>
          <w:i/>
          <w:vertAlign w:val="subscript"/>
        </w:rPr>
        <w:t>2</w:t>
      </w:r>
      <w:r w:rsidRPr="004505CF">
        <w:rPr>
          <w:rFonts w:asciiTheme="majorHAnsi" w:hAnsiTheme="majorHAnsi"/>
          <w:b/>
          <w:i/>
        </w:rPr>
        <w:t xml:space="preserve"> emissions is to incentivize the rapid deployment of carbon capture utilization and storage (CCUS) technologies.</w:t>
      </w:r>
    </w:p>
    <w:p w14:paraId="773AF719" w14:textId="77777777" w:rsidR="00A21DD6" w:rsidRPr="004505CF" w:rsidRDefault="00A21DD6" w:rsidP="00A21DD6">
      <w:pPr>
        <w:pStyle w:val="ListParagraph"/>
        <w:spacing w:after="0" w:line="240" w:lineRule="auto"/>
        <w:ind w:left="360"/>
        <w:rPr>
          <w:rFonts w:asciiTheme="majorHAnsi" w:hAnsiTheme="majorHAnsi"/>
          <w:b/>
        </w:rPr>
      </w:pPr>
    </w:p>
    <w:p w14:paraId="7A6F1D5A" w14:textId="77777777" w:rsidR="00B10289" w:rsidRPr="004505CF" w:rsidRDefault="00B10289" w:rsidP="00B10289">
      <w:pPr>
        <w:pStyle w:val="ListParagraph"/>
        <w:numPr>
          <w:ilvl w:val="0"/>
          <w:numId w:val="1"/>
        </w:numPr>
        <w:spacing w:after="0" w:line="240" w:lineRule="auto"/>
        <w:rPr>
          <w:rFonts w:asciiTheme="majorHAnsi" w:hAnsiTheme="majorHAnsi"/>
          <w:b/>
          <w:sz w:val="24"/>
          <w:szCs w:val="24"/>
        </w:rPr>
      </w:pPr>
      <w:r w:rsidRPr="004505CF">
        <w:rPr>
          <w:rFonts w:asciiTheme="majorHAnsi" w:hAnsiTheme="majorHAnsi"/>
          <w:b/>
          <w:sz w:val="24"/>
          <w:szCs w:val="24"/>
        </w:rPr>
        <w:t xml:space="preserve">Build on the Consensus.  </w:t>
      </w:r>
      <w:r w:rsidRPr="004505CF">
        <w:rPr>
          <w:rFonts w:asciiTheme="majorHAnsi" w:hAnsiTheme="majorHAnsi"/>
          <w:sz w:val="24"/>
          <w:szCs w:val="24"/>
        </w:rPr>
        <w:t>Efforts should be undertaken to build on the expanding consensus among industry, the environmental community and governments that future CO</w:t>
      </w:r>
      <w:r w:rsidRPr="004505CF">
        <w:rPr>
          <w:rFonts w:asciiTheme="majorHAnsi" w:hAnsiTheme="majorHAnsi"/>
          <w:sz w:val="24"/>
          <w:szCs w:val="24"/>
          <w:vertAlign w:val="subscript"/>
        </w:rPr>
        <w:t>2</w:t>
      </w:r>
      <w:r w:rsidRPr="004505CF">
        <w:rPr>
          <w:rFonts w:asciiTheme="majorHAnsi" w:hAnsiTheme="majorHAnsi"/>
          <w:sz w:val="24"/>
          <w:szCs w:val="24"/>
        </w:rPr>
        <w:t xml:space="preserve"> reduction goals cannot be met by renewable energy sources alone.  An expanded coalition of fossil fuel users and producers should collaborate to help develop and commercially deploy CCUS technologies on an accelerated time schedule with the aim of achieving global climate objectives and insuring a reliable grid.</w:t>
      </w:r>
    </w:p>
    <w:p w14:paraId="13C60500" w14:textId="77777777" w:rsidR="00B10289" w:rsidRPr="004505CF" w:rsidRDefault="00B10289" w:rsidP="00B10289">
      <w:pPr>
        <w:pStyle w:val="ListParagraph"/>
        <w:spacing w:after="0" w:line="240" w:lineRule="auto"/>
        <w:ind w:left="360"/>
        <w:rPr>
          <w:rFonts w:asciiTheme="majorHAnsi" w:hAnsiTheme="majorHAnsi"/>
          <w:b/>
          <w:sz w:val="24"/>
          <w:szCs w:val="24"/>
        </w:rPr>
      </w:pPr>
    </w:p>
    <w:p w14:paraId="2EBA9BDB" w14:textId="77777777" w:rsidR="00B10289" w:rsidRPr="004505CF" w:rsidRDefault="00B10289" w:rsidP="00B10289">
      <w:pPr>
        <w:pStyle w:val="ListParagraph"/>
        <w:numPr>
          <w:ilvl w:val="0"/>
          <w:numId w:val="1"/>
        </w:numPr>
        <w:spacing w:after="0" w:line="240" w:lineRule="auto"/>
        <w:rPr>
          <w:rFonts w:asciiTheme="majorHAnsi" w:hAnsiTheme="majorHAnsi"/>
          <w:b/>
          <w:sz w:val="24"/>
          <w:szCs w:val="24"/>
        </w:rPr>
      </w:pPr>
      <w:r w:rsidRPr="004505CF">
        <w:rPr>
          <w:rFonts w:asciiTheme="majorHAnsi" w:hAnsiTheme="majorHAnsi"/>
          <w:b/>
          <w:sz w:val="24"/>
          <w:szCs w:val="24"/>
        </w:rPr>
        <w:t>Prioritize CO</w:t>
      </w:r>
      <w:r w:rsidRPr="004505CF">
        <w:rPr>
          <w:rFonts w:asciiTheme="majorHAnsi" w:hAnsiTheme="majorHAnsi"/>
          <w:b/>
          <w:sz w:val="24"/>
          <w:szCs w:val="24"/>
          <w:vertAlign w:val="subscript"/>
        </w:rPr>
        <w:softHyphen/>
        <w:t>2</w:t>
      </w:r>
      <w:r w:rsidRPr="004505CF">
        <w:rPr>
          <w:rFonts w:asciiTheme="majorHAnsi" w:hAnsiTheme="majorHAnsi"/>
          <w:b/>
          <w:sz w:val="24"/>
          <w:szCs w:val="24"/>
        </w:rPr>
        <w:t xml:space="preserve"> Utilization Technology Deployment.  </w:t>
      </w:r>
      <w:r w:rsidRPr="004505CF">
        <w:rPr>
          <w:rFonts w:asciiTheme="majorHAnsi" w:hAnsiTheme="majorHAnsi"/>
          <w:sz w:val="24"/>
          <w:szCs w:val="24"/>
        </w:rPr>
        <w:t>Geological CO</w:t>
      </w:r>
      <w:r w:rsidRPr="004505CF">
        <w:rPr>
          <w:rFonts w:asciiTheme="majorHAnsi" w:hAnsiTheme="majorHAnsi"/>
          <w:sz w:val="24"/>
          <w:szCs w:val="24"/>
          <w:vertAlign w:val="subscript"/>
        </w:rPr>
        <w:t>2</w:t>
      </w:r>
      <w:r w:rsidRPr="004505CF">
        <w:rPr>
          <w:rFonts w:asciiTheme="majorHAnsi" w:hAnsiTheme="majorHAnsi"/>
          <w:sz w:val="24"/>
          <w:szCs w:val="24"/>
        </w:rPr>
        <w:t xml:space="preserve"> utilization options, including but not limited to CO</w:t>
      </w:r>
      <w:r w:rsidRPr="004505CF">
        <w:rPr>
          <w:rFonts w:asciiTheme="majorHAnsi" w:hAnsiTheme="majorHAnsi"/>
          <w:sz w:val="24"/>
          <w:szCs w:val="24"/>
          <w:vertAlign w:val="subscript"/>
        </w:rPr>
        <w:t>2</w:t>
      </w:r>
      <w:r w:rsidRPr="004505CF">
        <w:rPr>
          <w:rFonts w:asciiTheme="majorHAnsi" w:hAnsiTheme="majorHAnsi"/>
          <w:sz w:val="24"/>
          <w:szCs w:val="24"/>
        </w:rPr>
        <w:t xml:space="preserve"> for enhanced oil recovery (CO</w:t>
      </w:r>
      <w:r w:rsidRPr="004505CF">
        <w:rPr>
          <w:rFonts w:asciiTheme="majorHAnsi" w:hAnsiTheme="majorHAnsi"/>
          <w:sz w:val="24"/>
          <w:szCs w:val="24"/>
          <w:vertAlign w:val="subscript"/>
        </w:rPr>
        <w:t>2</w:t>
      </w:r>
      <w:r w:rsidRPr="004505CF">
        <w:rPr>
          <w:rFonts w:asciiTheme="majorHAnsi" w:hAnsiTheme="majorHAnsi"/>
          <w:sz w:val="24"/>
          <w:szCs w:val="24"/>
        </w:rPr>
        <w:t>-EOR), have the greatest potential to advance CCUS by creating market demand for anthropogenic CO</w:t>
      </w:r>
      <w:r w:rsidRPr="004505CF">
        <w:rPr>
          <w:rFonts w:asciiTheme="majorHAnsi" w:hAnsiTheme="majorHAnsi"/>
          <w:sz w:val="24"/>
          <w:szCs w:val="24"/>
          <w:vertAlign w:val="subscript"/>
        </w:rPr>
        <w:t>2</w:t>
      </w:r>
      <w:r w:rsidRPr="004505CF">
        <w:rPr>
          <w:rFonts w:asciiTheme="majorHAnsi" w:hAnsiTheme="majorHAnsi"/>
          <w:sz w:val="24"/>
          <w:szCs w:val="24"/>
        </w:rPr>
        <w:t>.  Monetary, regulatory and policy investments in CO</w:t>
      </w:r>
      <w:r w:rsidRPr="004505CF">
        <w:rPr>
          <w:rFonts w:asciiTheme="majorHAnsi" w:hAnsiTheme="majorHAnsi"/>
          <w:sz w:val="24"/>
          <w:szCs w:val="24"/>
          <w:vertAlign w:val="subscript"/>
        </w:rPr>
        <w:t>2</w:t>
      </w:r>
      <w:r w:rsidRPr="004505CF">
        <w:rPr>
          <w:rFonts w:asciiTheme="majorHAnsi" w:hAnsiTheme="majorHAnsi"/>
          <w:sz w:val="24"/>
          <w:szCs w:val="24"/>
        </w:rPr>
        <w:t xml:space="preserve"> utilization technologies should be roughly prioritized from geologic to non-geologic, with exceptions made if non-geologic technologies are found to be as effective as geologic storage.</w:t>
      </w:r>
    </w:p>
    <w:p w14:paraId="47F9E5A4" w14:textId="77777777" w:rsidR="00B10289" w:rsidRPr="004505CF" w:rsidRDefault="00B10289" w:rsidP="00B10289">
      <w:pPr>
        <w:pStyle w:val="ListParagraph"/>
        <w:rPr>
          <w:rFonts w:asciiTheme="majorHAnsi" w:hAnsiTheme="majorHAnsi"/>
          <w:b/>
          <w:sz w:val="24"/>
          <w:szCs w:val="24"/>
        </w:rPr>
      </w:pPr>
    </w:p>
    <w:p w14:paraId="58EBB08C" w14:textId="77777777" w:rsidR="00B10289" w:rsidRPr="004505CF" w:rsidRDefault="00B10289" w:rsidP="00B10289">
      <w:pPr>
        <w:pStyle w:val="ListParagraph"/>
        <w:numPr>
          <w:ilvl w:val="0"/>
          <w:numId w:val="1"/>
        </w:numPr>
        <w:spacing w:after="0" w:line="240" w:lineRule="auto"/>
        <w:rPr>
          <w:rFonts w:asciiTheme="majorHAnsi" w:hAnsiTheme="majorHAnsi"/>
          <w:b/>
          <w:sz w:val="24"/>
          <w:szCs w:val="24"/>
        </w:rPr>
      </w:pPr>
      <w:r w:rsidRPr="004505CF">
        <w:rPr>
          <w:rFonts w:asciiTheme="majorHAnsi" w:hAnsiTheme="majorHAnsi"/>
          <w:b/>
          <w:sz w:val="24"/>
          <w:szCs w:val="24"/>
        </w:rPr>
        <w:t>Pursue Non-Geologic CO</w:t>
      </w:r>
      <w:r w:rsidRPr="004505CF">
        <w:rPr>
          <w:rFonts w:asciiTheme="majorHAnsi" w:hAnsiTheme="majorHAnsi"/>
          <w:b/>
          <w:sz w:val="24"/>
          <w:szCs w:val="24"/>
          <w:vertAlign w:val="subscript"/>
        </w:rPr>
        <w:t>2</w:t>
      </w:r>
      <w:r w:rsidRPr="004505CF">
        <w:rPr>
          <w:rFonts w:asciiTheme="majorHAnsi" w:hAnsiTheme="majorHAnsi"/>
          <w:b/>
          <w:sz w:val="24"/>
          <w:szCs w:val="24"/>
        </w:rPr>
        <w:t xml:space="preserve"> Markets as Longer Term Opportunities.  </w:t>
      </w:r>
      <w:r w:rsidRPr="004505CF">
        <w:rPr>
          <w:rFonts w:asciiTheme="majorHAnsi" w:hAnsiTheme="majorHAnsi"/>
          <w:sz w:val="24"/>
          <w:szCs w:val="24"/>
        </w:rPr>
        <w:t>Non-geologic CO</w:t>
      </w:r>
      <w:r w:rsidRPr="004505CF">
        <w:rPr>
          <w:rFonts w:asciiTheme="majorHAnsi" w:hAnsiTheme="majorHAnsi"/>
          <w:sz w:val="24"/>
          <w:szCs w:val="24"/>
          <w:vertAlign w:val="subscript"/>
        </w:rPr>
        <w:t>2</w:t>
      </w:r>
      <w:r w:rsidRPr="004505CF">
        <w:rPr>
          <w:rFonts w:asciiTheme="majorHAnsi" w:hAnsiTheme="majorHAnsi"/>
          <w:sz w:val="24"/>
          <w:szCs w:val="24"/>
        </w:rPr>
        <w:t xml:space="preserve"> utilization options are unlikely to significantly incentivize CCUS in the near- to intermediate-term due to technical, greenhouse gas (GHG) lifecycle considerations and lack of scalability. However, a broadly deployed mix of CO</w:t>
      </w:r>
      <w:r w:rsidRPr="004505CF">
        <w:rPr>
          <w:rFonts w:asciiTheme="majorHAnsi" w:hAnsiTheme="majorHAnsi"/>
          <w:sz w:val="24"/>
          <w:szCs w:val="24"/>
          <w:vertAlign w:val="subscript"/>
        </w:rPr>
        <w:t>2</w:t>
      </w:r>
      <w:r w:rsidRPr="004505CF">
        <w:rPr>
          <w:rFonts w:asciiTheme="majorHAnsi" w:hAnsiTheme="majorHAnsi"/>
          <w:sz w:val="24"/>
          <w:szCs w:val="24"/>
        </w:rPr>
        <w:t xml:space="preserve"> utilization technologies may help to advance CCUS incrementally, providing sufficient incentive to keep CCUS technologies moving forward.  Non-geologic technologies that can “fix” CO</w:t>
      </w:r>
      <w:r w:rsidRPr="004505CF">
        <w:rPr>
          <w:rFonts w:asciiTheme="majorHAnsi" w:hAnsiTheme="majorHAnsi"/>
          <w:sz w:val="24"/>
          <w:szCs w:val="24"/>
          <w:vertAlign w:val="subscript"/>
        </w:rPr>
        <w:t>2</w:t>
      </w:r>
      <w:r w:rsidRPr="004505CF">
        <w:rPr>
          <w:rFonts w:asciiTheme="majorHAnsi" w:hAnsiTheme="majorHAnsi"/>
          <w:sz w:val="24"/>
          <w:szCs w:val="24"/>
        </w:rPr>
        <w:t xml:space="preserve"> molecules intact, akin to geologic storage, hold the most promise and are worthy of continuing RD&amp;D, including inorganic carbonates/bicarbonates, plastics/polymers, organic/specialty chemicals and agricultural fertilizers.  </w:t>
      </w:r>
    </w:p>
    <w:p w14:paraId="64E0E13F" w14:textId="77777777" w:rsidR="00B10289" w:rsidRPr="004505CF" w:rsidRDefault="00B10289" w:rsidP="00B10289">
      <w:pPr>
        <w:pStyle w:val="ListParagraph"/>
        <w:rPr>
          <w:rFonts w:asciiTheme="majorHAnsi" w:hAnsiTheme="majorHAnsi"/>
          <w:b/>
          <w:sz w:val="24"/>
          <w:szCs w:val="24"/>
        </w:rPr>
      </w:pPr>
    </w:p>
    <w:p w14:paraId="222E076E" w14:textId="77777777" w:rsidR="00B10289" w:rsidRPr="004505CF" w:rsidRDefault="00B10289" w:rsidP="00B10289">
      <w:pPr>
        <w:pStyle w:val="ListParagraph"/>
        <w:numPr>
          <w:ilvl w:val="0"/>
          <w:numId w:val="1"/>
        </w:numPr>
        <w:spacing w:after="0" w:line="240" w:lineRule="auto"/>
        <w:rPr>
          <w:rFonts w:asciiTheme="majorHAnsi" w:hAnsiTheme="majorHAnsi"/>
          <w:b/>
          <w:sz w:val="24"/>
          <w:szCs w:val="24"/>
        </w:rPr>
      </w:pPr>
      <w:r w:rsidRPr="004505CF">
        <w:rPr>
          <w:rFonts w:asciiTheme="majorHAnsi" w:hAnsiTheme="majorHAnsi"/>
          <w:b/>
          <w:sz w:val="24"/>
          <w:szCs w:val="24"/>
        </w:rPr>
        <w:t>Pursue Impactful Options to Facilitate Regulatory Compliance.</w:t>
      </w:r>
      <w:r w:rsidRPr="004505CF">
        <w:rPr>
          <w:rFonts w:asciiTheme="majorHAnsi" w:hAnsiTheme="majorHAnsi"/>
          <w:sz w:val="24"/>
          <w:szCs w:val="24"/>
        </w:rPr>
        <w:t xml:space="preserve">  U.S. and international GHG reduction objectives and timeframes dictate the need to employ CO</w:t>
      </w:r>
      <w:r w:rsidRPr="004505CF">
        <w:rPr>
          <w:rFonts w:asciiTheme="majorHAnsi" w:hAnsiTheme="majorHAnsi"/>
          <w:sz w:val="24"/>
          <w:szCs w:val="24"/>
          <w:vertAlign w:val="subscript"/>
        </w:rPr>
        <w:t xml:space="preserve">2 </w:t>
      </w:r>
      <w:r w:rsidRPr="004505CF">
        <w:rPr>
          <w:rFonts w:asciiTheme="majorHAnsi" w:hAnsiTheme="majorHAnsi"/>
          <w:sz w:val="24"/>
          <w:szCs w:val="24"/>
        </w:rPr>
        <w:t>utilization technologies that can be quickly commercialized at significant scale.  U.S. law recognizes CO</w:t>
      </w:r>
      <w:r w:rsidRPr="004505CF">
        <w:rPr>
          <w:rFonts w:asciiTheme="majorHAnsi" w:hAnsiTheme="majorHAnsi"/>
          <w:sz w:val="24"/>
          <w:szCs w:val="24"/>
          <w:vertAlign w:val="subscript"/>
        </w:rPr>
        <w:t>2</w:t>
      </w:r>
      <w:r w:rsidRPr="004505CF">
        <w:rPr>
          <w:rFonts w:asciiTheme="majorHAnsi" w:hAnsiTheme="majorHAnsi"/>
          <w:sz w:val="24"/>
          <w:szCs w:val="24"/>
        </w:rPr>
        <w:t xml:space="preserve">-EOR and other geologic technologies as compliance options; non-geologic technologies may be used only if EPA determines they are as effective as geologic storage.  NCC recommends applying a reasonable </w:t>
      </w:r>
      <w:r w:rsidRPr="004505CF">
        <w:rPr>
          <w:rFonts w:asciiTheme="majorHAnsi" w:hAnsiTheme="majorHAnsi"/>
          <w:b/>
          <w:sz w:val="24"/>
          <w:szCs w:val="24"/>
        </w:rPr>
        <w:t xml:space="preserve"> </w:t>
      </w:r>
      <w:r w:rsidRPr="004505CF">
        <w:rPr>
          <w:rFonts w:asciiTheme="majorHAnsi" w:hAnsiTheme="majorHAnsi"/>
          <w:sz w:val="24"/>
          <w:szCs w:val="24"/>
        </w:rPr>
        <w:t>market</w:t>
      </w:r>
      <w:r w:rsidRPr="004505CF">
        <w:rPr>
          <w:rFonts w:asciiTheme="majorHAnsi" w:hAnsiTheme="majorHAnsi"/>
          <w:b/>
          <w:sz w:val="24"/>
          <w:szCs w:val="24"/>
        </w:rPr>
        <w:t xml:space="preserve"> </w:t>
      </w:r>
      <w:r w:rsidRPr="004505CF">
        <w:rPr>
          <w:rFonts w:asciiTheme="majorHAnsi" w:hAnsiTheme="majorHAnsi"/>
          <w:sz w:val="24"/>
          <w:szCs w:val="24"/>
        </w:rPr>
        <w:t>potential threshold of 35 MTPY, which is roughly equivalent to the annual CO</w:t>
      </w:r>
      <w:r w:rsidRPr="004505CF">
        <w:rPr>
          <w:rFonts w:asciiTheme="majorHAnsi" w:hAnsiTheme="majorHAnsi"/>
          <w:sz w:val="24"/>
          <w:szCs w:val="24"/>
          <w:vertAlign w:val="subscript"/>
        </w:rPr>
        <w:t>2</w:t>
      </w:r>
      <w:r w:rsidRPr="004505CF">
        <w:rPr>
          <w:rFonts w:asciiTheme="majorHAnsi" w:hAnsiTheme="majorHAnsi"/>
          <w:sz w:val="24"/>
          <w:szCs w:val="24"/>
        </w:rPr>
        <w:t xml:space="preserve"> emissions from about 6 GWe or a dozen 500 MWe coal-based power plants.</w:t>
      </w:r>
    </w:p>
    <w:p w14:paraId="5ADFBCC2" w14:textId="77777777" w:rsidR="00B10289" w:rsidRPr="004505CF" w:rsidRDefault="00B10289" w:rsidP="00B10289">
      <w:pPr>
        <w:pStyle w:val="ListParagraph"/>
        <w:spacing w:after="0" w:line="240" w:lineRule="auto"/>
        <w:ind w:left="360"/>
        <w:rPr>
          <w:rFonts w:asciiTheme="majorHAnsi" w:hAnsiTheme="majorHAnsi"/>
          <w:b/>
          <w:sz w:val="24"/>
          <w:szCs w:val="24"/>
        </w:rPr>
      </w:pPr>
    </w:p>
    <w:p w14:paraId="54594859" w14:textId="6E34C55C" w:rsidR="00B10289" w:rsidRPr="004505CF" w:rsidRDefault="00B10289" w:rsidP="00B10289">
      <w:pPr>
        <w:pStyle w:val="ListParagraph"/>
        <w:numPr>
          <w:ilvl w:val="0"/>
          <w:numId w:val="1"/>
        </w:numPr>
        <w:spacing w:after="0" w:line="240" w:lineRule="auto"/>
        <w:rPr>
          <w:rFonts w:asciiTheme="majorHAnsi" w:hAnsiTheme="majorHAnsi"/>
          <w:b/>
          <w:sz w:val="24"/>
          <w:szCs w:val="24"/>
        </w:rPr>
      </w:pPr>
      <w:r w:rsidRPr="004505CF">
        <w:rPr>
          <w:rFonts w:asciiTheme="majorHAnsi" w:hAnsiTheme="majorHAnsi"/>
          <w:b/>
          <w:sz w:val="24"/>
          <w:szCs w:val="24"/>
        </w:rPr>
        <w:t>Establish a Technology Review Process.</w:t>
      </w:r>
      <w:r w:rsidRPr="004505CF">
        <w:rPr>
          <w:rFonts w:asciiTheme="majorHAnsi" w:hAnsiTheme="majorHAnsi"/>
          <w:sz w:val="24"/>
          <w:szCs w:val="24"/>
        </w:rPr>
        <w:t xml:space="preserve">  There is benefit to establishing a technology review process that is as objective as possible to assess the benefits and challenges of different CO</w:t>
      </w:r>
      <w:r w:rsidRPr="004505CF">
        <w:rPr>
          <w:rFonts w:asciiTheme="majorHAnsi" w:hAnsiTheme="majorHAnsi"/>
          <w:sz w:val="24"/>
          <w:szCs w:val="24"/>
          <w:vertAlign w:val="subscript"/>
        </w:rPr>
        <w:t>2</w:t>
      </w:r>
      <w:r w:rsidRPr="004505CF">
        <w:rPr>
          <w:rFonts w:asciiTheme="majorHAnsi" w:hAnsiTheme="majorHAnsi"/>
          <w:sz w:val="24"/>
          <w:szCs w:val="24"/>
        </w:rPr>
        <w:t xml:space="preserve"> utilization technologies and products.  Evaluation criteria fall into three broad categories:  1) environmental considerations, 2) technology/product status and 3) market considerations.  Evaluation criteria can be used to prioritize candidates for RD&amp;D and product investment.</w:t>
      </w:r>
    </w:p>
    <w:p w14:paraId="0039716D" w14:textId="77777777" w:rsidR="00B10289" w:rsidRPr="004505CF" w:rsidRDefault="00B10289" w:rsidP="00B10289">
      <w:pPr>
        <w:pStyle w:val="ListParagraph"/>
        <w:rPr>
          <w:rFonts w:asciiTheme="majorHAnsi" w:hAnsiTheme="majorHAnsi"/>
          <w:b/>
          <w:sz w:val="6"/>
        </w:rPr>
      </w:pPr>
    </w:p>
    <w:p w14:paraId="267B8E2C" w14:textId="19D8A0FF" w:rsidR="00CF38E0" w:rsidRPr="00CF38E0" w:rsidRDefault="00CF38E0" w:rsidP="00D46608">
      <w:pPr>
        <w:pStyle w:val="ListParagraph"/>
        <w:spacing w:after="0" w:line="240" w:lineRule="auto"/>
        <w:ind w:left="360"/>
        <w:jc w:val="center"/>
        <w:rPr>
          <w:rFonts w:asciiTheme="majorHAnsi" w:hAnsiTheme="majorHAnsi"/>
          <w:sz w:val="24"/>
        </w:rPr>
      </w:pPr>
      <w:hyperlink r:id="rId7" w:history="1">
        <w:r w:rsidRPr="00CF38E0">
          <w:rPr>
            <w:rStyle w:val="Hyperlink"/>
            <w:rFonts w:asciiTheme="majorHAnsi" w:hAnsiTheme="majorHAnsi"/>
            <w:sz w:val="24"/>
          </w:rPr>
          <w:t>http://www.nationalcoalcouncil.org/studies/2016/NCC-CO2-Building-Block-FINAL-Report.pdf</w:t>
        </w:r>
      </w:hyperlink>
    </w:p>
    <w:p w14:paraId="096D63E8" w14:textId="6D0A07D2" w:rsidR="001A16FD" w:rsidRPr="00CF38E0" w:rsidRDefault="001A16FD" w:rsidP="00D46608">
      <w:pPr>
        <w:pStyle w:val="ListParagraph"/>
        <w:spacing w:after="0" w:line="240" w:lineRule="auto"/>
        <w:ind w:left="360"/>
        <w:jc w:val="center"/>
        <w:rPr>
          <w:rFonts w:asciiTheme="majorHAnsi" w:hAnsiTheme="majorHAnsi"/>
        </w:rPr>
      </w:pPr>
      <w:hyperlink r:id="rId8" w:history="1">
        <w:r w:rsidRPr="00CF38E0">
          <w:rPr>
            <w:rStyle w:val="Hyperlink"/>
            <w:rFonts w:asciiTheme="majorHAnsi" w:hAnsiTheme="majorHAnsi"/>
          </w:rPr>
          <w:t>http://www.nationalcoalcouncil.org/page-NCC-Studies.html</w:t>
        </w:r>
      </w:hyperlink>
    </w:p>
    <w:p w14:paraId="42EF0B7A" w14:textId="77777777" w:rsidR="001A16FD" w:rsidRPr="004505CF" w:rsidRDefault="001A16FD" w:rsidP="00D46608">
      <w:pPr>
        <w:pStyle w:val="ListParagraph"/>
        <w:spacing w:after="0" w:line="240" w:lineRule="auto"/>
        <w:ind w:left="360"/>
        <w:jc w:val="center"/>
        <w:rPr>
          <w:rFonts w:asciiTheme="majorHAnsi" w:hAnsiTheme="majorHAnsi"/>
        </w:rPr>
        <w:sectPr w:rsidR="001A16FD" w:rsidRPr="004505CF" w:rsidSect="00A21DD6">
          <w:headerReference w:type="default" r:id="rId9"/>
          <w:pgSz w:w="12240" w:h="15840"/>
          <w:pgMar w:top="994" w:right="1080" w:bottom="547" w:left="1296" w:header="720" w:footer="432" w:gutter="0"/>
          <w:cols w:space="720"/>
          <w:docGrid w:linePitch="360"/>
        </w:sectPr>
      </w:pPr>
    </w:p>
    <w:p w14:paraId="3898F1A4" w14:textId="77777777" w:rsidR="00F11A2B" w:rsidRDefault="00F11A2B" w:rsidP="00C83A5B">
      <w:pPr>
        <w:pStyle w:val="ListParagraph"/>
        <w:spacing w:after="0" w:line="240" w:lineRule="auto"/>
        <w:ind w:left="0" w:right="-1008"/>
        <w:jc w:val="center"/>
        <w:rPr>
          <w:rFonts w:asciiTheme="majorHAnsi" w:hAnsiTheme="majorHAnsi"/>
          <w:b/>
          <w:i/>
        </w:rPr>
      </w:pPr>
      <w:bookmarkStart w:id="0" w:name="_GoBack"/>
      <w:bookmarkEnd w:id="0"/>
      <w:r w:rsidRPr="00C83A5B">
        <w:rPr>
          <w:rFonts w:asciiTheme="majorHAnsi" w:hAnsiTheme="majorHAnsi"/>
          <w:b/>
          <w:i/>
        </w:rPr>
        <w:lastRenderedPageBreak/>
        <w:t>“I am writing to request the National Coal Council (NCC) develop an expanded white paper assessing opportunities to advance commercial markets for carbon dioxide (CO</w:t>
      </w:r>
      <w:r w:rsidRPr="00C83A5B">
        <w:rPr>
          <w:rFonts w:asciiTheme="majorHAnsi" w:hAnsiTheme="majorHAnsi"/>
          <w:b/>
          <w:i/>
          <w:vertAlign w:val="subscript"/>
        </w:rPr>
        <w:t>2</w:t>
      </w:r>
      <w:r w:rsidRPr="00C83A5B">
        <w:rPr>
          <w:rFonts w:asciiTheme="majorHAnsi" w:hAnsiTheme="majorHAnsi"/>
          <w:b/>
          <w:i/>
        </w:rPr>
        <w:t>) from coal-based power generation.  What is the extent to which commercial EOR and non-EOR CO</w:t>
      </w:r>
      <w:r w:rsidRPr="00C83A5B">
        <w:rPr>
          <w:rFonts w:asciiTheme="majorHAnsi" w:hAnsiTheme="majorHAnsi"/>
          <w:b/>
          <w:i/>
          <w:vertAlign w:val="subscript"/>
        </w:rPr>
        <w:t>2</w:t>
      </w:r>
      <w:r w:rsidRPr="00C83A5B">
        <w:rPr>
          <w:rFonts w:asciiTheme="majorHAnsi" w:hAnsiTheme="majorHAnsi"/>
          <w:b/>
          <w:i/>
        </w:rPr>
        <w:t xml:space="preserve"> markets could incentivize deployment of Carbon Capture and Storage (CCS)/Carbon Capture, Utilization and Storage (CCUS) technologies? What economic opportunity does deployment of commercial-scale CCS/CCUS technology represent for the U.S.?”</w:t>
      </w:r>
    </w:p>
    <w:p w14:paraId="42FE7AAF" w14:textId="2883B8C1" w:rsidR="000B1D6E" w:rsidRPr="00C83A5B" w:rsidRDefault="000B1D6E" w:rsidP="00CF5651">
      <w:pPr>
        <w:pStyle w:val="ListParagraph"/>
        <w:spacing w:after="0" w:line="240" w:lineRule="auto"/>
        <w:ind w:left="0" w:right="-1008"/>
        <w:jc w:val="right"/>
        <w:rPr>
          <w:rFonts w:asciiTheme="majorHAnsi" w:hAnsiTheme="majorHAnsi"/>
          <w:b/>
          <w:i/>
        </w:rPr>
      </w:pPr>
      <w:r>
        <w:rPr>
          <w:rFonts w:asciiTheme="majorHAnsi" w:hAnsiTheme="majorHAnsi"/>
          <w:b/>
          <w:i/>
        </w:rPr>
        <w:t>U.S. Secretary Ernest J. Moniz – February 2016</w:t>
      </w:r>
    </w:p>
    <w:p w14:paraId="74906C4F" w14:textId="77777777" w:rsidR="00980111" w:rsidRPr="00CF5651" w:rsidRDefault="00980111">
      <w:pPr>
        <w:rPr>
          <w:rFonts w:asciiTheme="majorHAnsi" w:eastAsia="Times New Roman" w:hAnsiTheme="majorHAnsi" w:cs="Times New Roman"/>
          <w:sz w:val="14"/>
        </w:rPr>
      </w:pPr>
    </w:p>
    <w:p w14:paraId="5987B75B" w14:textId="315C8DA8" w:rsidR="00980111" w:rsidRDefault="002362BA" w:rsidP="000177A0">
      <w:pPr>
        <w:ind w:left="1440" w:right="-1008"/>
        <w:rPr>
          <w:rFonts w:asciiTheme="majorHAnsi" w:eastAsia="Times New Roman" w:hAnsiTheme="majorHAnsi" w:cs="Times New Roman"/>
        </w:rPr>
      </w:pPr>
      <w:r>
        <w:rPr>
          <w:rFonts w:asciiTheme="majorHAnsi" w:eastAsia="Times New Roman" w:hAnsiTheme="majorHAnsi" w:cs="Times New Roman"/>
        </w:rPr>
        <w:t>The National Coal Council’s “CO</w:t>
      </w:r>
      <w:r w:rsidRPr="002362BA">
        <w:rPr>
          <w:rFonts w:asciiTheme="majorHAnsi" w:eastAsia="Times New Roman" w:hAnsiTheme="majorHAnsi" w:cs="Times New Roman"/>
          <w:vertAlign w:val="subscript"/>
        </w:rPr>
        <w:t>2</w:t>
      </w:r>
      <w:r>
        <w:rPr>
          <w:rFonts w:asciiTheme="majorHAnsi" w:eastAsia="Times New Roman" w:hAnsiTheme="majorHAnsi" w:cs="Times New Roman"/>
        </w:rPr>
        <w:t xml:space="preserve"> Building Blocks” report </w:t>
      </w:r>
      <w:r w:rsidR="00B80FA1">
        <w:rPr>
          <w:rFonts w:asciiTheme="majorHAnsi" w:eastAsia="Times New Roman" w:hAnsiTheme="majorHAnsi" w:cs="Times New Roman"/>
        </w:rPr>
        <w:t xml:space="preserve">acknowledges the growing consensus </w:t>
      </w:r>
      <w:r w:rsidR="008768DF">
        <w:rPr>
          <w:rFonts w:asciiTheme="majorHAnsi" w:eastAsia="Times New Roman" w:hAnsiTheme="majorHAnsi" w:cs="Times New Roman"/>
        </w:rPr>
        <w:t>among industry, the environmental community and governments that future CO</w:t>
      </w:r>
      <w:r w:rsidR="008768DF" w:rsidRPr="008768DF">
        <w:rPr>
          <w:rFonts w:asciiTheme="majorHAnsi" w:eastAsia="Times New Roman" w:hAnsiTheme="majorHAnsi" w:cs="Times New Roman"/>
          <w:vertAlign w:val="subscript"/>
        </w:rPr>
        <w:t>2</w:t>
      </w:r>
      <w:r w:rsidR="008768DF">
        <w:rPr>
          <w:rFonts w:asciiTheme="majorHAnsi" w:eastAsia="Times New Roman" w:hAnsiTheme="majorHAnsi" w:cs="Times New Roman"/>
        </w:rPr>
        <w:t xml:space="preserve"> emission reduction goals </w:t>
      </w:r>
      <w:r w:rsidR="00B34777">
        <w:rPr>
          <w:rFonts w:asciiTheme="majorHAnsi" w:eastAsia="Times New Roman" w:hAnsiTheme="majorHAnsi" w:cs="Times New Roman"/>
        </w:rPr>
        <w:t xml:space="preserve">cannot be met by renewable energy sources alone and that CCUS technologies for all fossil fuels will have to be deployed in the near term to achieve U.S. and global climate objectives.  </w:t>
      </w:r>
    </w:p>
    <w:p w14:paraId="7F69A439" w14:textId="62123BF2" w:rsidR="0085177E" w:rsidRPr="000177A0" w:rsidRDefault="00BE6E35" w:rsidP="000177A0">
      <w:pPr>
        <w:ind w:left="1440" w:right="-1008"/>
        <w:rPr>
          <w:rFonts w:asciiTheme="majorHAnsi" w:eastAsia="Times New Roman" w:hAnsiTheme="majorHAnsi" w:cs="Times New Roman"/>
          <w:sz w:val="14"/>
        </w:rPr>
      </w:pPr>
      <w:r w:rsidRPr="00914F56">
        <w:rPr>
          <w:noProof/>
        </w:rPr>
        <w:drawing>
          <wp:anchor distT="0" distB="0" distL="114300" distR="114300" simplePos="0" relativeHeight="251673088" behindDoc="1" locked="0" layoutInCell="1" allowOverlap="1" wp14:anchorId="209196DD" wp14:editId="0C30C1F0">
            <wp:simplePos x="0" y="0"/>
            <wp:positionH relativeFrom="column">
              <wp:posOffset>-951230</wp:posOffset>
            </wp:positionH>
            <wp:positionV relativeFrom="paragraph">
              <wp:posOffset>1905</wp:posOffset>
            </wp:positionV>
            <wp:extent cx="2825115" cy="2230120"/>
            <wp:effectExtent l="19050" t="19050" r="13335" b="17780"/>
            <wp:wrapTight wrapText="bothSides">
              <wp:wrapPolygon edited="0">
                <wp:start x="-146" y="-185"/>
                <wp:lineTo x="-146" y="21588"/>
                <wp:lineTo x="21556" y="21588"/>
                <wp:lineTo x="21556" y="-185"/>
                <wp:lineTo x="-146" y="-185"/>
              </wp:wrapPolygon>
            </wp:wrapTight>
            <wp:docPr id="4" name="Picture 4" descr="C:\Users\JGellici\Pictures\NCC\BT-AK526_GECOAL_9U_2016081713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Gellici\Pictures\NCC\BT-AK526_GECOAL_9U_20160817130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115" cy="223012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0904607B" w14:textId="234E1C47" w:rsidR="00FA68C1" w:rsidRDefault="001827F2" w:rsidP="000177A0">
      <w:pPr>
        <w:ind w:left="1440" w:right="-1008"/>
        <w:rPr>
          <w:rFonts w:asciiTheme="majorHAnsi" w:eastAsia="Times New Roman" w:hAnsiTheme="majorHAnsi" w:cs="Times New Roman"/>
        </w:rPr>
      </w:pPr>
      <w:r>
        <w:rPr>
          <w:rFonts w:asciiTheme="majorHAnsi" w:eastAsia="Times New Roman" w:hAnsiTheme="majorHAnsi" w:cs="Times New Roman"/>
          <w:szCs w:val="22"/>
        </w:rPr>
        <w:t xml:space="preserve">* </w:t>
      </w:r>
      <w:r w:rsidR="00983CC7" w:rsidRPr="001827F2">
        <w:rPr>
          <w:rFonts w:asciiTheme="majorHAnsi" w:eastAsia="Times New Roman" w:hAnsiTheme="majorHAnsi" w:cs="Times New Roman"/>
        </w:rPr>
        <w:t>Fossil fuels – including coal, natural gas and oil – will remain the dominant global energy source well into the future by virtue of their abundance, supply security and affordability.</w:t>
      </w:r>
    </w:p>
    <w:p w14:paraId="24DF154A" w14:textId="77777777" w:rsidR="001827F2" w:rsidRPr="000177A0" w:rsidRDefault="001827F2" w:rsidP="000177A0">
      <w:pPr>
        <w:ind w:left="1440" w:right="-1008"/>
        <w:rPr>
          <w:rFonts w:asciiTheme="majorHAnsi" w:eastAsia="Times New Roman" w:hAnsiTheme="majorHAnsi" w:cs="Times New Roman"/>
          <w:sz w:val="14"/>
        </w:rPr>
      </w:pPr>
    </w:p>
    <w:p w14:paraId="1D408FED" w14:textId="205B1C08" w:rsidR="001827F2" w:rsidRDefault="001827F2" w:rsidP="000177A0">
      <w:pPr>
        <w:ind w:left="1440" w:right="-1008"/>
        <w:rPr>
          <w:rFonts w:asciiTheme="majorHAnsi" w:eastAsia="Times New Roman" w:hAnsiTheme="majorHAnsi" w:cs="Times New Roman"/>
        </w:rPr>
      </w:pPr>
      <w:r>
        <w:rPr>
          <w:rFonts w:asciiTheme="majorHAnsi" w:eastAsia="Times New Roman" w:hAnsiTheme="majorHAnsi" w:cs="Times New Roman"/>
        </w:rPr>
        <w:t xml:space="preserve">* </w:t>
      </w:r>
      <w:r w:rsidR="002C5AB6">
        <w:rPr>
          <w:rFonts w:asciiTheme="majorHAnsi" w:eastAsia="Times New Roman" w:hAnsiTheme="majorHAnsi" w:cs="Times New Roman"/>
        </w:rPr>
        <w:t>Advancing CCUS is not just about coal, nor is it just about fossil fuels generally.  Rather, it is a sine qua non for achieving stabilization of GHG concentrations.</w:t>
      </w:r>
    </w:p>
    <w:p w14:paraId="30CAF128" w14:textId="77777777" w:rsidR="002C5AB6" w:rsidRPr="000177A0" w:rsidRDefault="002C5AB6" w:rsidP="000177A0">
      <w:pPr>
        <w:ind w:left="1440" w:right="-1008"/>
        <w:rPr>
          <w:rFonts w:asciiTheme="majorHAnsi" w:eastAsia="Times New Roman" w:hAnsiTheme="majorHAnsi" w:cs="Times New Roman"/>
          <w:sz w:val="14"/>
        </w:rPr>
      </w:pPr>
    </w:p>
    <w:p w14:paraId="3022355B" w14:textId="05C0F517" w:rsidR="002C5AB6" w:rsidRDefault="002C5AB6" w:rsidP="000177A0">
      <w:pPr>
        <w:ind w:left="1440" w:right="-1008"/>
        <w:rPr>
          <w:rFonts w:asciiTheme="majorHAnsi" w:eastAsia="Times New Roman" w:hAnsiTheme="majorHAnsi" w:cs="Times New Roman"/>
        </w:rPr>
      </w:pPr>
      <w:r>
        <w:rPr>
          <w:rFonts w:asciiTheme="majorHAnsi" w:eastAsia="Times New Roman" w:hAnsiTheme="majorHAnsi" w:cs="Times New Roman"/>
        </w:rPr>
        <w:t xml:space="preserve">* </w:t>
      </w:r>
      <w:r w:rsidR="005E327E">
        <w:rPr>
          <w:rFonts w:asciiTheme="majorHAnsi" w:eastAsia="Times New Roman" w:hAnsiTheme="majorHAnsi" w:cs="Times New Roman"/>
        </w:rPr>
        <w:t>CO2 for enhanced oil recovery (CO</w:t>
      </w:r>
      <w:r w:rsidR="005E327E" w:rsidRPr="005E327E">
        <w:rPr>
          <w:rFonts w:asciiTheme="majorHAnsi" w:eastAsia="Times New Roman" w:hAnsiTheme="majorHAnsi" w:cs="Times New Roman"/>
          <w:vertAlign w:val="subscript"/>
        </w:rPr>
        <w:t>2</w:t>
      </w:r>
      <w:r w:rsidR="005E327E">
        <w:rPr>
          <w:rFonts w:asciiTheme="majorHAnsi" w:eastAsia="Times New Roman" w:hAnsiTheme="majorHAnsi" w:cs="Times New Roman"/>
        </w:rPr>
        <w:t>-EOR) represents the most immediate, highest value opportunity to utilize the greatest volume of anthropogenic CO</w:t>
      </w:r>
      <w:r w:rsidR="005E327E" w:rsidRPr="005E327E">
        <w:rPr>
          <w:rFonts w:asciiTheme="majorHAnsi" w:eastAsia="Times New Roman" w:hAnsiTheme="majorHAnsi" w:cs="Times New Roman"/>
          <w:vertAlign w:val="subscript"/>
        </w:rPr>
        <w:t>2</w:t>
      </w:r>
      <w:r w:rsidR="005E327E">
        <w:rPr>
          <w:rFonts w:asciiTheme="majorHAnsi" w:eastAsia="Times New Roman" w:hAnsiTheme="majorHAnsi" w:cs="Times New Roman"/>
        </w:rPr>
        <w:t xml:space="preserve">, thereby incentivizing CCUS.  </w:t>
      </w:r>
    </w:p>
    <w:p w14:paraId="7A41B43C" w14:textId="77777777" w:rsidR="0044047E" w:rsidRPr="000177A0" w:rsidRDefault="0044047E" w:rsidP="000177A0">
      <w:pPr>
        <w:ind w:left="1440" w:right="-1008"/>
        <w:rPr>
          <w:rFonts w:asciiTheme="majorHAnsi" w:eastAsia="Times New Roman" w:hAnsiTheme="majorHAnsi" w:cs="Times New Roman"/>
          <w:sz w:val="14"/>
        </w:rPr>
      </w:pPr>
    </w:p>
    <w:p w14:paraId="72264E87" w14:textId="49A3A4BB" w:rsidR="00740E59" w:rsidRDefault="0044047E" w:rsidP="000177A0">
      <w:pPr>
        <w:ind w:left="1440" w:right="-1008"/>
        <w:rPr>
          <w:rFonts w:asciiTheme="majorHAnsi" w:eastAsia="Times New Roman" w:hAnsiTheme="majorHAnsi" w:cs="Times New Roman"/>
        </w:rPr>
      </w:pPr>
      <w:r>
        <w:rPr>
          <w:rFonts w:asciiTheme="majorHAnsi" w:eastAsia="Times New Roman" w:hAnsiTheme="majorHAnsi" w:cs="Times New Roman"/>
        </w:rPr>
        <w:t>* Aside from CO</w:t>
      </w:r>
      <w:r w:rsidRPr="0044047E">
        <w:rPr>
          <w:rFonts w:asciiTheme="majorHAnsi" w:eastAsia="Times New Roman" w:hAnsiTheme="majorHAnsi" w:cs="Times New Roman"/>
          <w:vertAlign w:val="subscript"/>
        </w:rPr>
        <w:t>2</w:t>
      </w:r>
      <w:r>
        <w:rPr>
          <w:rFonts w:asciiTheme="majorHAnsi" w:eastAsia="Times New Roman" w:hAnsiTheme="majorHAnsi" w:cs="Times New Roman"/>
        </w:rPr>
        <w:t>-EOR and other geologic CO</w:t>
      </w:r>
      <w:r w:rsidRPr="00740E59">
        <w:rPr>
          <w:rFonts w:asciiTheme="majorHAnsi" w:eastAsia="Times New Roman" w:hAnsiTheme="majorHAnsi" w:cs="Times New Roman"/>
          <w:sz w:val="22"/>
          <w:vertAlign w:val="subscript"/>
        </w:rPr>
        <w:t>2</w:t>
      </w:r>
      <w:r w:rsidRPr="0044047E">
        <w:rPr>
          <w:rFonts w:asciiTheme="majorHAnsi" w:eastAsia="Times New Roman" w:hAnsiTheme="majorHAnsi" w:cs="Times New Roman"/>
          <w:sz w:val="22"/>
        </w:rPr>
        <w:t xml:space="preserve"> </w:t>
      </w:r>
      <w:r>
        <w:rPr>
          <w:rFonts w:asciiTheme="majorHAnsi" w:eastAsia="Times New Roman" w:hAnsiTheme="majorHAnsi" w:cs="Times New Roman"/>
        </w:rPr>
        <w:t xml:space="preserve">utilization options – including </w:t>
      </w:r>
      <w:r w:rsidR="00740E59">
        <w:rPr>
          <w:rFonts w:asciiTheme="majorHAnsi" w:eastAsia="Times New Roman" w:hAnsiTheme="majorHAnsi" w:cs="Times New Roman"/>
        </w:rPr>
        <w:t>CO</w:t>
      </w:r>
      <w:r w:rsidR="00740E59" w:rsidRPr="00740E59">
        <w:rPr>
          <w:rFonts w:asciiTheme="majorHAnsi" w:eastAsia="Times New Roman" w:hAnsiTheme="majorHAnsi" w:cs="Times New Roman"/>
          <w:vertAlign w:val="subscript"/>
        </w:rPr>
        <w:t>2</w:t>
      </w:r>
      <w:r w:rsidR="00740E59">
        <w:rPr>
          <w:rFonts w:asciiTheme="majorHAnsi" w:eastAsia="Times New Roman" w:hAnsiTheme="majorHAnsi" w:cs="Times New Roman"/>
        </w:rPr>
        <w:t xml:space="preserve"> in natural gas shale formations, enhanced coal bed methane (ECBM), enhanced water recovery (EWR) and geothermal energy storage – research is underway on two general utilization pathways.  The first breaks down the CO</w:t>
      </w:r>
      <w:r w:rsidR="00740E59" w:rsidRPr="00740E59">
        <w:rPr>
          <w:rFonts w:asciiTheme="majorHAnsi" w:eastAsia="Times New Roman" w:hAnsiTheme="majorHAnsi" w:cs="Times New Roman"/>
          <w:vertAlign w:val="subscript"/>
        </w:rPr>
        <w:t>2</w:t>
      </w:r>
      <w:r w:rsidR="00740E59">
        <w:rPr>
          <w:rFonts w:asciiTheme="majorHAnsi" w:eastAsia="Times New Roman" w:hAnsiTheme="majorHAnsi" w:cs="Times New Roman"/>
        </w:rPr>
        <w:t xml:space="preserve"> molecule by cleaving C=O bonds while the second incorporates the entire CO</w:t>
      </w:r>
      <w:r w:rsidR="00740E59" w:rsidRPr="00740E59">
        <w:rPr>
          <w:rFonts w:asciiTheme="majorHAnsi" w:eastAsia="Times New Roman" w:hAnsiTheme="majorHAnsi" w:cs="Times New Roman"/>
          <w:vertAlign w:val="subscript"/>
        </w:rPr>
        <w:t>2</w:t>
      </w:r>
      <w:r w:rsidR="00740E59">
        <w:rPr>
          <w:rFonts w:asciiTheme="majorHAnsi" w:eastAsia="Times New Roman" w:hAnsiTheme="majorHAnsi" w:cs="Times New Roman"/>
        </w:rPr>
        <w:t xml:space="preserve"> molecule into other chemical structures.  The latter holds relatively more promise as it requires less energy and tends to “fix” the CO</w:t>
      </w:r>
      <w:r w:rsidR="00740E59" w:rsidRPr="00740E59">
        <w:rPr>
          <w:rFonts w:asciiTheme="majorHAnsi" w:eastAsia="Times New Roman" w:hAnsiTheme="majorHAnsi" w:cs="Times New Roman"/>
          <w:vertAlign w:val="subscript"/>
        </w:rPr>
        <w:t>2</w:t>
      </w:r>
      <w:r w:rsidR="00740E59">
        <w:rPr>
          <w:rFonts w:asciiTheme="majorHAnsi" w:eastAsia="Times New Roman" w:hAnsiTheme="majorHAnsi" w:cs="Times New Roman"/>
        </w:rPr>
        <w:t xml:space="preserve"> in a manner akin to geologic storage.</w:t>
      </w:r>
    </w:p>
    <w:p w14:paraId="35CF4E8E" w14:textId="77777777" w:rsidR="00740E59" w:rsidRPr="000177A0" w:rsidRDefault="00740E59" w:rsidP="000177A0">
      <w:pPr>
        <w:ind w:left="1440" w:right="-1008"/>
        <w:rPr>
          <w:rFonts w:asciiTheme="majorHAnsi" w:eastAsia="Times New Roman" w:hAnsiTheme="majorHAnsi" w:cs="Times New Roman"/>
          <w:sz w:val="14"/>
        </w:rPr>
      </w:pPr>
    </w:p>
    <w:p w14:paraId="6D0565BD" w14:textId="18AA3E4F" w:rsidR="00740E59" w:rsidRDefault="00740E59" w:rsidP="000177A0">
      <w:pPr>
        <w:ind w:left="1440" w:right="-1008"/>
        <w:rPr>
          <w:rFonts w:asciiTheme="majorHAnsi" w:eastAsia="Times New Roman" w:hAnsiTheme="majorHAnsi" w:cs="Times New Roman"/>
        </w:rPr>
      </w:pPr>
      <w:r>
        <w:rPr>
          <w:rFonts w:asciiTheme="majorHAnsi" w:eastAsia="Times New Roman" w:hAnsiTheme="majorHAnsi" w:cs="Times New Roman"/>
        </w:rPr>
        <w:t>*</w:t>
      </w:r>
      <w:r w:rsidR="000F1CC2">
        <w:rPr>
          <w:rFonts w:asciiTheme="majorHAnsi" w:eastAsia="Times New Roman" w:hAnsiTheme="majorHAnsi" w:cs="Times New Roman"/>
        </w:rPr>
        <w:t>Utilizing CO</w:t>
      </w:r>
      <w:r w:rsidR="000F1CC2" w:rsidRPr="000F1CC2">
        <w:rPr>
          <w:rFonts w:asciiTheme="majorHAnsi" w:eastAsia="Times New Roman" w:hAnsiTheme="majorHAnsi" w:cs="Times New Roman"/>
          <w:vertAlign w:val="subscript"/>
        </w:rPr>
        <w:t>2</w:t>
      </w:r>
      <w:r w:rsidR="000F1CC2">
        <w:rPr>
          <w:rFonts w:asciiTheme="majorHAnsi" w:eastAsia="Times New Roman" w:hAnsiTheme="majorHAnsi" w:cs="Times New Roman"/>
        </w:rPr>
        <w:t xml:space="preserve"> in non-geologic applications faces hurdles, including yet-to-be resolved issues associated with thermodynamics and kinetics involved in the successful reduction of CO</w:t>
      </w:r>
      <w:r w:rsidR="000F1CC2" w:rsidRPr="000F1CC2">
        <w:rPr>
          <w:rFonts w:asciiTheme="majorHAnsi" w:eastAsia="Times New Roman" w:hAnsiTheme="majorHAnsi" w:cs="Times New Roman"/>
          <w:vertAlign w:val="subscript"/>
        </w:rPr>
        <w:t>2</w:t>
      </w:r>
      <w:r w:rsidR="000F1CC2">
        <w:rPr>
          <w:rFonts w:asciiTheme="majorHAnsi" w:eastAsia="Times New Roman" w:hAnsiTheme="majorHAnsi" w:cs="Times New Roman"/>
        </w:rPr>
        <w:t xml:space="preserve"> to carbon products.  Still these technologies are worthy of continuing evaluation and many hold long-term potential in specific applications.</w:t>
      </w:r>
    </w:p>
    <w:p w14:paraId="6EC5EEB6" w14:textId="7FB9F009" w:rsidR="000F1CC2" w:rsidRPr="000177A0" w:rsidRDefault="000F1CC2" w:rsidP="000177A0">
      <w:pPr>
        <w:ind w:left="1440" w:right="-1008"/>
        <w:rPr>
          <w:rFonts w:asciiTheme="majorHAnsi" w:eastAsia="Times New Roman" w:hAnsiTheme="majorHAnsi" w:cs="Times New Roman"/>
          <w:sz w:val="14"/>
        </w:rPr>
      </w:pPr>
    </w:p>
    <w:p w14:paraId="1E1CF479" w14:textId="07525ABD" w:rsidR="000F1CC2" w:rsidRDefault="000F1CC2" w:rsidP="000177A0">
      <w:pPr>
        <w:ind w:left="1440" w:right="-1008"/>
        <w:rPr>
          <w:rFonts w:asciiTheme="majorHAnsi" w:eastAsia="Times New Roman" w:hAnsiTheme="majorHAnsi" w:cs="Times New Roman"/>
        </w:rPr>
      </w:pPr>
      <w:r>
        <w:rPr>
          <w:rFonts w:asciiTheme="majorHAnsi" w:eastAsia="Times New Roman" w:hAnsiTheme="majorHAnsi" w:cs="Times New Roman"/>
        </w:rPr>
        <w:t>*</w:t>
      </w:r>
      <w:r w:rsidR="009E021D">
        <w:rPr>
          <w:rFonts w:asciiTheme="majorHAnsi" w:eastAsia="Times New Roman" w:hAnsiTheme="majorHAnsi" w:cs="Times New Roman"/>
        </w:rPr>
        <w:t xml:space="preserve"> </w:t>
      </w:r>
      <w:r w:rsidR="00C83A5B">
        <w:rPr>
          <w:rFonts w:asciiTheme="majorHAnsi" w:eastAsia="Times New Roman" w:hAnsiTheme="majorHAnsi" w:cs="Times New Roman"/>
        </w:rPr>
        <w:t>An objective technology review process that assesses the challenges and benefits of different CO</w:t>
      </w:r>
      <w:r w:rsidR="00C83A5B" w:rsidRPr="00C83A5B">
        <w:rPr>
          <w:rFonts w:asciiTheme="majorHAnsi" w:eastAsia="Times New Roman" w:hAnsiTheme="majorHAnsi" w:cs="Times New Roman"/>
          <w:vertAlign w:val="subscript"/>
        </w:rPr>
        <w:t>2</w:t>
      </w:r>
      <w:r w:rsidR="00C83A5B">
        <w:rPr>
          <w:rFonts w:asciiTheme="majorHAnsi" w:eastAsia="Times New Roman" w:hAnsiTheme="majorHAnsi" w:cs="Times New Roman"/>
        </w:rPr>
        <w:t xml:space="preserve"> utilization technologies and products could be used to prioritize candidates for RD&amp;D and product investment.  </w:t>
      </w:r>
    </w:p>
    <w:p w14:paraId="31313DB3" w14:textId="17143810" w:rsidR="00946746" w:rsidRPr="000177A0" w:rsidRDefault="00946746" w:rsidP="000177A0">
      <w:pPr>
        <w:ind w:left="1440" w:right="-1008"/>
        <w:rPr>
          <w:rFonts w:asciiTheme="majorHAnsi" w:eastAsia="Times New Roman" w:hAnsiTheme="majorHAnsi" w:cs="Times New Roman"/>
          <w:sz w:val="14"/>
        </w:rPr>
      </w:pPr>
    </w:p>
    <w:p w14:paraId="4918D98A" w14:textId="3DEA0354" w:rsidR="00946746" w:rsidRDefault="00946746" w:rsidP="000177A0">
      <w:pPr>
        <w:ind w:left="1440" w:right="-1008"/>
        <w:rPr>
          <w:rFonts w:asciiTheme="majorHAnsi" w:eastAsia="Times New Roman" w:hAnsiTheme="majorHAnsi" w:cs="Times New Roman"/>
        </w:rPr>
      </w:pPr>
      <w:r>
        <w:rPr>
          <w:rFonts w:asciiTheme="majorHAnsi" w:eastAsia="Times New Roman" w:hAnsiTheme="majorHAnsi" w:cs="Times New Roman"/>
        </w:rPr>
        <w:t xml:space="preserve">* </w:t>
      </w:r>
      <w:r w:rsidR="000E2F97">
        <w:rPr>
          <w:rFonts w:asciiTheme="majorHAnsi" w:eastAsia="Times New Roman" w:hAnsiTheme="majorHAnsi" w:cs="Times New Roman"/>
        </w:rPr>
        <w:t>Current U.S. policy favors geologic-based utilization pathways for Clean Air Act compliance.  U.S. law recognizes CO</w:t>
      </w:r>
      <w:r w:rsidR="000E2F97" w:rsidRPr="000E2F97">
        <w:rPr>
          <w:rFonts w:asciiTheme="majorHAnsi" w:eastAsia="Times New Roman" w:hAnsiTheme="majorHAnsi" w:cs="Times New Roman"/>
          <w:vertAlign w:val="subscript"/>
        </w:rPr>
        <w:t>2</w:t>
      </w:r>
      <w:r w:rsidR="000E2F97">
        <w:rPr>
          <w:rFonts w:asciiTheme="majorHAnsi" w:eastAsia="Times New Roman" w:hAnsiTheme="majorHAnsi" w:cs="Times New Roman"/>
        </w:rPr>
        <w:t xml:space="preserve">-EOR and other geologic storage technologies as compliance options; non-geologic technologies may be used only if EPA determines they are as effective as geologic storage. </w:t>
      </w:r>
    </w:p>
    <w:p w14:paraId="5628CAD4" w14:textId="316FEB0E" w:rsidR="00C83A5B" w:rsidRDefault="00A54669" w:rsidP="00C83A5B">
      <w:pPr>
        <w:ind w:left="720" w:right="-1008"/>
        <w:rPr>
          <w:rFonts w:asciiTheme="majorHAnsi" w:eastAsia="Times New Roman" w:hAnsiTheme="majorHAnsi" w:cs="Times New Roman"/>
          <w:b/>
        </w:rPr>
      </w:pPr>
      <w:r w:rsidRPr="00A54669">
        <w:rPr>
          <w:rFonts w:asciiTheme="majorHAnsi" w:eastAsia="Times New Roman" w:hAnsiTheme="majorHAnsi" w:cs="Times New Roman"/>
          <w:b/>
        </w:rPr>
        <w:lastRenderedPageBreak/>
        <w:t>CO</w:t>
      </w:r>
      <w:r w:rsidRPr="00A54669">
        <w:rPr>
          <w:rFonts w:asciiTheme="majorHAnsi" w:eastAsia="Times New Roman" w:hAnsiTheme="majorHAnsi" w:cs="Times New Roman"/>
          <w:b/>
          <w:vertAlign w:val="subscript"/>
        </w:rPr>
        <w:t>2</w:t>
      </w:r>
      <w:r>
        <w:rPr>
          <w:rFonts w:asciiTheme="majorHAnsi" w:eastAsia="Times New Roman" w:hAnsiTheme="majorHAnsi" w:cs="Times New Roman"/>
          <w:b/>
          <w:vertAlign w:val="subscript"/>
        </w:rPr>
        <w:t xml:space="preserve"> </w:t>
      </w:r>
      <w:r w:rsidRPr="00A54669">
        <w:rPr>
          <w:rFonts w:asciiTheme="majorHAnsi" w:eastAsia="Times New Roman" w:hAnsiTheme="majorHAnsi" w:cs="Times New Roman"/>
          <w:b/>
        </w:rPr>
        <w:t>Emissions</w:t>
      </w:r>
      <w:r>
        <w:rPr>
          <w:rFonts w:asciiTheme="majorHAnsi" w:eastAsia="Times New Roman" w:hAnsiTheme="majorHAnsi" w:cs="Times New Roman"/>
          <w:b/>
        </w:rPr>
        <w:t xml:space="preserve"> – BP Energy Outlook 2016</w:t>
      </w:r>
    </w:p>
    <w:p w14:paraId="302EA732" w14:textId="4B035797" w:rsidR="00980111" w:rsidRPr="001827F2" w:rsidRDefault="0007031D" w:rsidP="00C83A5B">
      <w:pPr>
        <w:ind w:right="-1008"/>
        <w:rPr>
          <w:rFonts w:asciiTheme="majorHAnsi" w:eastAsia="Times New Roman" w:hAnsiTheme="majorHAnsi" w:cs="Times New Roman"/>
        </w:rPr>
      </w:pPr>
      <w:r>
        <w:rPr>
          <w:noProof/>
        </w:rPr>
        <w:drawing>
          <wp:anchor distT="0" distB="0" distL="114300" distR="114300" simplePos="0" relativeHeight="251627008" behindDoc="1" locked="0" layoutInCell="1" allowOverlap="1" wp14:anchorId="3985EC0B" wp14:editId="0FF4C0E3">
            <wp:simplePos x="0" y="0"/>
            <wp:positionH relativeFrom="column">
              <wp:posOffset>911860</wp:posOffset>
            </wp:positionH>
            <wp:positionV relativeFrom="paragraph">
              <wp:posOffset>57150</wp:posOffset>
            </wp:positionV>
            <wp:extent cx="2383790" cy="2755900"/>
            <wp:effectExtent l="19050" t="19050" r="16510" b="25400"/>
            <wp:wrapTight wrapText="bothSides">
              <wp:wrapPolygon edited="0">
                <wp:start x="-173" y="-149"/>
                <wp:lineTo x="-173" y="21650"/>
                <wp:lineTo x="21577" y="21650"/>
                <wp:lineTo x="21577" y="-149"/>
                <wp:lineTo x="-173" y="-149"/>
              </wp:wrapPolygon>
            </wp:wrapTight>
            <wp:docPr id="12" name="Picture 11" descr="http://cdn01.dailycaller.com/wp-content/uploads/2016/02/bpco2chart-e1455207213584-620x683.png"/>
            <wp:cNvGraphicFramePr/>
            <a:graphic xmlns:a="http://schemas.openxmlformats.org/drawingml/2006/main">
              <a:graphicData uri="http://schemas.openxmlformats.org/drawingml/2006/picture">
                <pic:pic xmlns:pic="http://schemas.openxmlformats.org/drawingml/2006/picture">
                  <pic:nvPicPr>
                    <pic:cNvPr id="12" name="Picture 11" descr="http://cdn01.dailycaller.com/wp-content/uploads/2016/02/bpco2chart-e1455207213584-620x683.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3790" cy="27559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74EF0">
        <w:rPr>
          <w:rFonts w:asciiTheme="majorHAnsi" w:eastAsia="Times New Roman" w:hAnsiTheme="majorHAnsi" w:cs="Times New Roman"/>
        </w:rPr>
        <w:t>The BP Energy Outlook 2016 notes that the level of CO2 emissions is expected to continue to grow, increasing by 20% between 2014 and 2035. The gap between the projected path for CO</w:t>
      </w:r>
      <w:r w:rsidR="00674EF0" w:rsidRPr="00F4783D">
        <w:rPr>
          <w:rFonts w:asciiTheme="majorHAnsi" w:eastAsia="Times New Roman" w:hAnsiTheme="majorHAnsi" w:cs="Times New Roman"/>
          <w:vertAlign w:val="subscript"/>
        </w:rPr>
        <w:t>2</w:t>
      </w:r>
      <w:r w:rsidR="00674EF0">
        <w:rPr>
          <w:rFonts w:asciiTheme="majorHAnsi" w:eastAsia="Times New Roman" w:hAnsiTheme="majorHAnsi" w:cs="Times New Roman"/>
        </w:rPr>
        <w:t xml:space="preserve"> emissions and the International Energy Agency’s (IEA) 450 Scenario demonstrates the challenge associated with reducing GHG emissions.</w:t>
      </w:r>
    </w:p>
    <w:p w14:paraId="3C4EF99B" w14:textId="4A3996B7" w:rsidR="0007031D" w:rsidRPr="00D15E17" w:rsidRDefault="0007031D" w:rsidP="00C83A5B">
      <w:pPr>
        <w:ind w:right="-1008"/>
        <w:rPr>
          <w:rFonts w:asciiTheme="majorHAnsi" w:eastAsia="Times New Roman" w:hAnsiTheme="majorHAnsi" w:cs="Times New Roman"/>
          <w:sz w:val="10"/>
        </w:rPr>
      </w:pPr>
    </w:p>
    <w:p w14:paraId="5248333F" w14:textId="016095FC" w:rsidR="00980111" w:rsidRDefault="00BC4D7B" w:rsidP="00C83A5B">
      <w:pPr>
        <w:ind w:right="-1008"/>
        <w:rPr>
          <w:rFonts w:asciiTheme="majorHAnsi" w:eastAsia="Times New Roman" w:hAnsiTheme="majorHAnsi" w:cs="Times New Roman"/>
        </w:rPr>
      </w:pPr>
      <w:r>
        <w:rPr>
          <w:rFonts w:asciiTheme="majorHAnsi" w:eastAsia="Times New Roman" w:hAnsiTheme="majorHAnsi" w:cs="Times New Roman"/>
        </w:rPr>
        <w:t>Both the IEA and the United Nation’s Intergovernmental Panel on Climate Change (IPCC) have concluded that CCUS is essential to limit global warming to 2</w:t>
      </w:r>
      <w:r w:rsidRPr="00BC4D7B">
        <w:rPr>
          <w:rFonts w:asciiTheme="majorHAnsi" w:eastAsia="Times New Roman" w:hAnsiTheme="majorHAnsi" w:cs="Times New Roman"/>
          <w:vertAlign w:val="superscript"/>
        </w:rPr>
        <w:t>0</w:t>
      </w:r>
      <w:r>
        <w:rPr>
          <w:rFonts w:asciiTheme="majorHAnsi" w:eastAsia="Times New Roman" w:hAnsiTheme="majorHAnsi" w:cs="Times New Roman"/>
        </w:rPr>
        <w:t>C.</w:t>
      </w:r>
      <w:r w:rsidR="005C6B5D">
        <w:rPr>
          <w:rFonts w:asciiTheme="majorHAnsi" w:eastAsia="Times New Roman" w:hAnsiTheme="majorHAnsi" w:cs="Times New Roman"/>
        </w:rPr>
        <w:t xml:space="preserve">  IEA estimates that CCUS can achieve 14% of the global GHG emissions reductions by 2050.</w:t>
      </w:r>
      <w:r>
        <w:rPr>
          <w:rFonts w:asciiTheme="majorHAnsi" w:eastAsia="Times New Roman" w:hAnsiTheme="majorHAnsi" w:cs="Times New Roman"/>
        </w:rPr>
        <w:t xml:space="preserve"> </w:t>
      </w:r>
    </w:p>
    <w:p w14:paraId="7BB0FB51" w14:textId="77777777" w:rsidR="00C04C72" w:rsidRPr="00D15E17" w:rsidRDefault="00C04C72" w:rsidP="00C83A5B">
      <w:pPr>
        <w:ind w:right="-1008"/>
        <w:rPr>
          <w:rFonts w:asciiTheme="majorHAnsi" w:eastAsia="Times New Roman" w:hAnsiTheme="majorHAnsi" w:cs="Times New Roman"/>
          <w:sz w:val="10"/>
        </w:rPr>
      </w:pPr>
    </w:p>
    <w:p w14:paraId="4FA65374" w14:textId="2184E105" w:rsidR="00C04C72" w:rsidRDefault="00ED7A02" w:rsidP="00DD4ED4">
      <w:pPr>
        <w:ind w:right="-1008"/>
        <w:rPr>
          <w:rFonts w:asciiTheme="majorHAnsi" w:eastAsia="Times New Roman" w:hAnsiTheme="majorHAnsi" w:cs="Times New Roman"/>
        </w:rPr>
      </w:pPr>
      <w:r>
        <w:rPr>
          <w:rFonts w:asciiTheme="majorHAnsi" w:eastAsia="Times New Roman" w:hAnsiTheme="majorHAnsi" w:cs="Times New Roman"/>
        </w:rPr>
        <w:t>Fossil fuels</w:t>
      </w:r>
      <w:r w:rsidR="007B1936">
        <w:rPr>
          <w:rFonts w:asciiTheme="majorHAnsi" w:eastAsia="Times New Roman" w:hAnsiTheme="majorHAnsi" w:cs="Times New Roman"/>
        </w:rPr>
        <w:t xml:space="preserve"> generally and coal specifically</w:t>
      </w:r>
      <w:r>
        <w:rPr>
          <w:rFonts w:asciiTheme="majorHAnsi" w:eastAsia="Times New Roman" w:hAnsiTheme="majorHAnsi" w:cs="Times New Roman"/>
        </w:rPr>
        <w:t xml:space="preserve"> are dependent upon CCUS technologies to comply with U.S. GHG </w:t>
      </w:r>
      <w:r w:rsidR="00DD4ED4">
        <w:rPr>
          <w:rFonts w:asciiTheme="majorHAnsi" w:eastAsia="Times New Roman" w:hAnsiTheme="majorHAnsi" w:cs="Times New Roman"/>
        </w:rPr>
        <w:t xml:space="preserve">emissions reduction requirements.  </w:t>
      </w:r>
      <w:r w:rsidR="00B22A71">
        <w:rPr>
          <w:rFonts w:asciiTheme="majorHAnsi" w:eastAsia="Times New Roman" w:hAnsiTheme="majorHAnsi" w:cs="Times New Roman"/>
        </w:rPr>
        <w:t>U.S. law requires new major stationary sources and major modifications to existing sources of GHG to reduce their emissions with geologic storage options – specifically including CO</w:t>
      </w:r>
      <w:r w:rsidR="00B22A71" w:rsidRPr="00B22A71">
        <w:rPr>
          <w:rFonts w:asciiTheme="majorHAnsi" w:eastAsia="Times New Roman" w:hAnsiTheme="majorHAnsi" w:cs="Times New Roman"/>
          <w:vertAlign w:val="subscript"/>
        </w:rPr>
        <w:t>2</w:t>
      </w:r>
      <w:r w:rsidR="00B22A71">
        <w:rPr>
          <w:rFonts w:asciiTheme="majorHAnsi" w:eastAsia="Times New Roman" w:hAnsiTheme="majorHAnsi" w:cs="Times New Roman"/>
        </w:rPr>
        <w:t xml:space="preserve">-EOR – as preferred mitigation technologies.  </w:t>
      </w:r>
      <w:r w:rsidR="006C5B49">
        <w:rPr>
          <w:rFonts w:asciiTheme="majorHAnsi" w:eastAsia="Times New Roman" w:hAnsiTheme="majorHAnsi" w:cs="Times New Roman"/>
        </w:rPr>
        <w:t>These U.S. legal requirements are reinforced by the 2015 Paris Agreement which largely envisions the decarbonization of major energy systems through the use of CCUS and other technologies by 2050.</w:t>
      </w:r>
    </w:p>
    <w:p w14:paraId="226BFC86" w14:textId="66E56D9F" w:rsidR="00CE5F4C" w:rsidRPr="00D15E17" w:rsidRDefault="00CE5F4C" w:rsidP="00DD4ED4">
      <w:pPr>
        <w:ind w:right="-1008"/>
        <w:rPr>
          <w:rFonts w:asciiTheme="majorHAnsi" w:eastAsia="Times New Roman" w:hAnsiTheme="majorHAnsi" w:cs="Times New Roman"/>
          <w:sz w:val="10"/>
        </w:rPr>
      </w:pPr>
    </w:p>
    <w:p w14:paraId="23C376B3" w14:textId="04836AF2" w:rsidR="00CE5F4C" w:rsidRDefault="00CE5F4C" w:rsidP="00DD4ED4">
      <w:pPr>
        <w:ind w:right="-1008"/>
        <w:rPr>
          <w:rFonts w:asciiTheme="majorHAnsi" w:eastAsia="Times New Roman" w:hAnsiTheme="majorHAnsi" w:cs="Times New Roman"/>
        </w:rPr>
      </w:pPr>
      <w:r>
        <w:rPr>
          <w:rFonts w:asciiTheme="majorHAnsi" w:eastAsia="Times New Roman" w:hAnsiTheme="majorHAnsi" w:cs="Times New Roman"/>
        </w:rPr>
        <w:t>CO</w:t>
      </w:r>
      <w:r w:rsidRPr="00646195">
        <w:rPr>
          <w:rFonts w:asciiTheme="majorHAnsi" w:eastAsia="Times New Roman" w:hAnsiTheme="majorHAnsi" w:cs="Times New Roman"/>
          <w:vertAlign w:val="subscript"/>
        </w:rPr>
        <w:t>2</w:t>
      </w:r>
      <w:r>
        <w:rPr>
          <w:rFonts w:asciiTheme="majorHAnsi" w:eastAsia="Times New Roman" w:hAnsiTheme="majorHAnsi" w:cs="Times New Roman"/>
        </w:rPr>
        <w:t xml:space="preserve">-EOR </w:t>
      </w:r>
      <w:r w:rsidR="00646195">
        <w:rPr>
          <w:rFonts w:asciiTheme="majorHAnsi" w:eastAsia="Times New Roman" w:hAnsiTheme="majorHAnsi" w:cs="Times New Roman"/>
        </w:rPr>
        <w:t xml:space="preserve">still represents the most immediate, highest value opportunity to utilize </w:t>
      </w:r>
      <w:r w:rsidR="00D15E17">
        <w:rPr>
          <w:rFonts w:asciiTheme="majorHAnsi" w:eastAsia="Times New Roman" w:hAnsiTheme="majorHAnsi" w:cs="Times New Roman"/>
        </w:rPr>
        <w:t>t</w:t>
      </w:r>
      <w:r w:rsidR="00646195">
        <w:rPr>
          <w:rFonts w:asciiTheme="majorHAnsi" w:eastAsia="Times New Roman" w:hAnsiTheme="majorHAnsi" w:cs="Times New Roman"/>
        </w:rPr>
        <w:t>he greatest volumes of anthropogenic CO</w:t>
      </w:r>
      <w:r w:rsidR="00646195" w:rsidRPr="00646195">
        <w:rPr>
          <w:rFonts w:asciiTheme="majorHAnsi" w:eastAsia="Times New Roman" w:hAnsiTheme="majorHAnsi" w:cs="Times New Roman"/>
          <w:vertAlign w:val="subscript"/>
        </w:rPr>
        <w:t>2</w:t>
      </w:r>
      <w:r w:rsidR="00646195">
        <w:rPr>
          <w:rFonts w:asciiTheme="majorHAnsi" w:eastAsia="Times New Roman" w:hAnsiTheme="majorHAnsi" w:cs="Times New Roman"/>
        </w:rPr>
        <w:t xml:space="preserve">. </w:t>
      </w:r>
      <w:r w:rsidR="00D523CE">
        <w:rPr>
          <w:rFonts w:asciiTheme="majorHAnsi" w:eastAsia="Times New Roman" w:hAnsiTheme="majorHAnsi" w:cs="Times New Roman"/>
        </w:rPr>
        <w:t xml:space="preserve">  </w:t>
      </w:r>
    </w:p>
    <w:p w14:paraId="2C654237" w14:textId="77777777" w:rsidR="000725E8" w:rsidRPr="000725E8" w:rsidRDefault="000725E8" w:rsidP="00DD4ED4">
      <w:pPr>
        <w:ind w:right="-1008"/>
        <w:rPr>
          <w:rFonts w:asciiTheme="majorHAnsi" w:eastAsia="Times New Roman" w:hAnsiTheme="majorHAnsi" w:cs="Times New Roman"/>
          <w:sz w:val="14"/>
        </w:rPr>
      </w:pPr>
    </w:p>
    <w:p w14:paraId="00899A73" w14:textId="54BE879C" w:rsidR="000725E8" w:rsidRPr="000725E8" w:rsidRDefault="000725E8" w:rsidP="000725E8">
      <w:pPr>
        <w:ind w:right="-1008"/>
        <w:jc w:val="center"/>
        <w:rPr>
          <w:rFonts w:asciiTheme="majorHAnsi" w:eastAsia="Times New Roman" w:hAnsiTheme="majorHAnsi" w:cs="Times New Roman"/>
          <w:b/>
        </w:rPr>
      </w:pPr>
      <w:r>
        <w:rPr>
          <w:rFonts w:asciiTheme="majorHAnsi" w:eastAsia="Times New Roman" w:hAnsiTheme="majorHAnsi" w:cs="Times New Roman"/>
          <w:b/>
        </w:rPr>
        <w:t>Technically Recoverable Domestic Oil and CO</w:t>
      </w:r>
      <w:r w:rsidRPr="000725E8">
        <w:rPr>
          <w:rFonts w:asciiTheme="majorHAnsi" w:eastAsia="Times New Roman" w:hAnsiTheme="majorHAnsi" w:cs="Times New Roman"/>
          <w:b/>
          <w:vertAlign w:val="subscript"/>
        </w:rPr>
        <w:t>2</w:t>
      </w:r>
      <w:r>
        <w:rPr>
          <w:rFonts w:asciiTheme="majorHAnsi" w:eastAsia="Times New Roman" w:hAnsiTheme="majorHAnsi" w:cs="Times New Roman"/>
          <w:b/>
        </w:rPr>
        <w:t xml:space="preserve"> Storage Capacity, State of the Art and “Next Generation” CO2-EOR Technology</w:t>
      </w:r>
    </w:p>
    <w:p w14:paraId="51FF8C25" w14:textId="7EDD134F" w:rsidR="00D15E17" w:rsidRDefault="00D15E17" w:rsidP="000725E8">
      <w:pPr>
        <w:ind w:right="-1008"/>
        <w:jc w:val="center"/>
        <w:rPr>
          <w:rFonts w:asciiTheme="majorHAnsi" w:eastAsia="Times New Roman" w:hAnsiTheme="majorHAnsi" w:cs="Times New Roman"/>
        </w:rPr>
      </w:pPr>
      <w:r w:rsidRPr="00D15E17">
        <w:rPr>
          <w:rFonts w:asciiTheme="majorHAnsi" w:eastAsia="Times New Roman" w:hAnsiTheme="majorHAnsi" w:cs="Times New Roman"/>
          <w:noProof/>
        </w:rPr>
        <w:drawing>
          <wp:inline distT="0" distB="0" distL="0" distR="0" wp14:anchorId="6423A2D0" wp14:editId="129662F6">
            <wp:extent cx="3602052" cy="2759498"/>
            <wp:effectExtent l="0" t="0" r="0" b="3175"/>
            <wp:docPr id="16" name="Picture 15"/>
            <wp:cNvGraphicFramePr/>
            <a:graphic xmlns:a="http://schemas.openxmlformats.org/drawingml/2006/main">
              <a:graphicData uri="http://schemas.openxmlformats.org/drawingml/2006/picture">
                <pic:pic xmlns:pic="http://schemas.openxmlformats.org/drawingml/2006/picture">
                  <pic:nvPicPr>
                    <pic:cNvPr id="16" name="Picture 15"/>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2752" cy="2767695"/>
                    </a:xfrm>
                    <a:prstGeom prst="rect">
                      <a:avLst/>
                    </a:prstGeom>
                    <a:noFill/>
                  </pic:spPr>
                </pic:pic>
              </a:graphicData>
            </a:graphic>
          </wp:inline>
        </w:drawing>
      </w:r>
    </w:p>
    <w:p w14:paraId="34409BE7" w14:textId="4CCB0481" w:rsidR="00A61534" w:rsidRDefault="00A61534" w:rsidP="00A61534">
      <w:pPr>
        <w:ind w:right="-1008"/>
        <w:rPr>
          <w:rFonts w:asciiTheme="majorHAnsi" w:eastAsia="Times New Roman" w:hAnsiTheme="majorHAnsi" w:cs="Times New Roman"/>
        </w:rPr>
      </w:pPr>
      <w:r>
        <w:rPr>
          <w:rFonts w:asciiTheme="majorHAnsi" w:eastAsia="Times New Roman" w:hAnsiTheme="majorHAnsi" w:cs="Times New Roman"/>
        </w:rPr>
        <w:lastRenderedPageBreak/>
        <w:t>With a potential for 81 billion barrels of economically viable oil recovery from mature oil field and residual oil zones (assuming the use of “Next Generation” technology), the various CO</w:t>
      </w:r>
      <w:r w:rsidRPr="00A61534">
        <w:rPr>
          <w:rFonts w:asciiTheme="majorHAnsi" w:eastAsia="Times New Roman" w:hAnsiTheme="majorHAnsi" w:cs="Times New Roman"/>
          <w:vertAlign w:val="subscript"/>
        </w:rPr>
        <w:t>2</w:t>
      </w:r>
      <w:r>
        <w:rPr>
          <w:rFonts w:asciiTheme="majorHAnsi" w:eastAsia="Times New Roman" w:hAnsiTheme="majorHAnsi" w:cs="Times New Roman"/>
        </w:rPr>
        <w:t xml:space="preserve">-EO stakeholders would gain valuable revenue and economic benefits.  </w:t>
      </w:r>
    </w:p>
    <w:p w14:paraId="371C5121" w14:textId="77777777" w:rsidR="007B50B6" w:rsidRPr="007B50B6" w:rsidRDefault="007B50B6" w:rsidP="00A61534">
      <w:pPr>
        <w:ind w:right="-1008"/>
        <w:rPr>
          <w:rFonts w:asciiTheme="majorHAnsi" w:eastAsia="Times New Roman" w:hAnsiTheme="majorHAnsi" w:cs="Times New Roman"/>
          <w:sz w:val="10"/>
        </w:rPr>
      </w:pPr>
    </w:p>
    <w:tbl>
      <w:tblPr>
        <w:tblW w:w="0" w:type="auto"/>
        <w:tblInd w:w="558" w:type="dxa"/>
        <w:tblLook w:val="04A0" w:firstRow="1" w:lastRow="0" w:firstColumn="1" w:lastColumn="0" w:noHBand="0" w:noVBand="1"/>
      </w:tblPr>
      <w:tblGrid>
        <w:gridCol w:w="536"/>
        <w:gridCol w:w="4203"/>
        <w:gridCol w:w="2187"/>
      </w:tblGrid>
      <w:tr w:rsidR="00BE6E35" w:rsidRPr="00A61534" w14:paraId="2B436A5A" w14:textId="77777777" w:rsidTr="007B50B6">
        <w:trPr>
          <w:trHeight w:val="432"/>
        </w:trPr>
        <w:tc>
          <w:tcPr>
            <w:tcW w:w="536" w:type="dxa"/>
            <w:shd w:val="clear" w:color="auto" w:fill="auto"/>
            <w:vAlign w:val="center"/>
          </w:tcPr>
          <w:p w14:paraId="7142FE49" w14:textId="77777777" w:rsidR="00A61534" w:rsidRPr="004012C8" w:rsidRDefault="00A61534" w:rsidP="00212424">
            <w:pPr>
              <w:jc w:val="center"/>
              <w:rPr>
                <w:b/>
              </w:rPr>
            </w:pPr>
          </w:p>
        </w:tc>
        <w:tc>
          <w:tcPr>
            <w:tcW w:w="4203" w:type="dxa"/>
            <w:shd w:val="clear" w:color="auto" w:fill="auto"/>
            <w:vAlign w:val="center"/>
          </w:tcPr>
          <w:p w14:paraId="32222EDB" w14:textId="77777777" w:rsidR="00A61534" w:rsidRPr="00A61534" w:rsidRDefault="00A61534" w:rsidP="00212424">
            <w:pPr>
              <w:rPr>
                <w:rFonts w:asciiTheme="majorHAnsi" w:hAnsiTheme="majorHAnsi"/>
                <w:b/>
              </w:rPr>
            </w:pPr>
            <w:r w:rsidRPr="00A61534">
              <w:rPr>
                <w:rFonts w:asciiTheme="majorHAnsi" w:hAnsiTheme="majorHAnsi"/>
                <w:b/>
              </w:rPr>
              <w:t>Recipients of CO</w:t>
            </w:r>
            <w:r w:rsidRPr="00A61534">
              <w:rPr>
                <w:rFonts w:asciiTheme="majorHAnsi" w:hAnsiTheme="majorHAnsi"/>
                <w:b/>
                <w:vertAlign w:val="subscript"/>
              </w:rPr>
              <w:t>2</w:t>
            </w:r>
            <w:r w:rsidRPr="00A61534">
              <w:rPr>
                <w:rFonts w:asciiTheme="majorHAnsi" w:hAnsiTheme="majorHAnsi"/>
                <w:b/>
              </w:rPr>
              <w:t>-EOR Revenues*</w:t>
            </w:r>
          </w:p>
        </w:tc>
        <w:tc>
          <w:tcPr>
            <w:tcW w:w="2187" w:type="dxa"/>
            <w:shd w:val="clear" w:color="auto" w:fill="auto"/>
            <w:vAlign w:val="center"/>
          </w:tcPr>
          <w:p w14:paraId="646C569B" w14:textId="77777777" w:rsidR="00A61534" w:rsidRPr="00A61534" w:rsidRDefault="00A61534" w:rsidP="00212424">
            <w:pPr>
              <w:jc w:val="center"/>
              <w:rPr>
                <w:rFonts w:asciiTheme="majorHAnsi" w:hAnsiTheme="majorHAnsi"/>
                <w:b/>
              </w:rPr>
            </w:pPr>
            <w:r w:rsidRPr="00A61534">
              <w:rPr>
                <w:rFonts w:asciiTheme="majorHAnsi" w:hAnsiTheme="majorHAnsi"/>
                <w:b/>
              </w:rPr>
              <w:t>Revenues</w:t>
            </w:r>
          </w:p>
        </w:tc>
      </w:tr>
      <w:tr w:rsidR="00BE6E35" w:rsidRPr="00A61534" w14:paraId="4D0765E8" w14:textId="77777777" w:rsidTr="007B50B6">
        <w:trPr>
          <w:trHeight w:val="432"/>
        </w:trPr>
        <w:tc>
          <w:tcPr>
            <w:tcW w:w="536" w:type="dxa"/>
            <w:shd w:val="clear" w:color="auto" w:fill="auto"/>
            <w:vAlign w:val="center"/>
          </w:tcPr>
          <w:p w14:paraId="5453C3B4" w14:textId="77777777" w:rsidR="00A61534" w:rsidRDefault="00A61534" w:rsidP="00212424">
            <w:pPr>
              <w:jc w:val="center"/>
            </w:pPr>
            <w:r>
              <w:t>•</w:t>
            </w:r>
          </w:p>
        </w:tc>
        <w:tc>
          <w:tcPr>
            <w:tcW w:w="4203" w:type="dxa"/>
            <w:shd w:val="clear" w:color="auto" w:fill="auto"/>
            <w:vAlign w:val="center"/>
          </w:tcPr>
          <w:p w14:paraId="2C87B565" w14:textId="77777777" w:rsidR="00A61534" w:rsidRPr="00A61534" w:rsidRDefault="00A61534" w:rsidP="00212424">
            <w:pPr>
              <w:rPr>
                <w:rFonts w:asciiTheme="majorHAnsi" w:hAnsiTheme="majorHAnsi"/>
              </w:rPr>
            </w:pPr>
            <w:r w:rsidRPr="00A61534">
              <w:rPr>
                <w:rFonts w:asciiTheme="majorHAnsi" w:hAnsiTheme="majorHAnsi"/>
              </w:rPr>
              <w:t>CO</w:t>
            </w:r>
            <w:r w:rsidRPr="00A61534">
              <w:rPr>
                <w:rFonts w:asciiTheme="majorHAnsi" w:hAnsiTheme="majorHAnsi"/>
                <w:vertAlign w:val="subscript"/>
              </w:rPr>
              <w:t>2</w:t>
            </w:r>
            <w:r w:rsidRPr="00A61534">
              <w:rPr>
                <w:rFonts w:asciiTheme="majorHAnsi" w:hAnsiTheme="majorHAnsi"/>
              </w:rPr>
              <w:t xml:space="preserve"> Capture and Transporters</w:t>
            </w:r>
          </w:p>
        </w:tc>
        <w:tc>
          <w:tcPr>
            <w:tcW w:w="2187" w:type="dxa"/>
            <w:shd w:val="clear" w:color="auto" w:fill="auto"/>
            <w:vAlign w:val="center"/>
          </w:tcPr>
          <w:p w14:paraId="6D46B7D5" w14:textId="77777777" w:rsidR="00A61534" w:rsidRPr="00A61534" w:rsidRDefault="00A61534" w:rsidP="00212424">
            <w:pPr>
              <w:jc w:val="center"/>
              <w:rPr>
                <w:rFonts w:asciiTheme="majorHAnsi" w:hAnsiTheme="majorHAnsi"/>
              </w:rPr>
            </w:pPr>
            <w:r w:rsidRPr="00A61534">
              <w:rPr>
                <w:rFonts w:asciiTheme="majorHAnsi" w:hAnsiTheme="majorHAnsi"/>
              </w:rPr>
              <w:t>$1,210 billion</w:t>
            </w:r>
          </w:p>
        </w:tc>
      </w:tr>
      <w:tr w:rsidR="00BE6E35" w:rsidRPr="00A61534" w14:paraId="5DB60F6D" w14:textId="77777777" w:rsidTr="007B50B6">
        <w:trPr>
          <w:trHeight w:val="432"/>
        </w:trPr>
        <w:tc>
          <w:tcPr>
            <w:tcW w:w="536" w:type="dxa"/>
            <w:shd w:val="clear" w:color="auto" w:fill="auto"/>
            <w:vAlign w:val="center"/>
          </w:tcPr>
          <w:p w14:paraId="2FDD551E" w14:textId="77777777" w:rsidR="00A61534" w:rsidRDefault="00A61534" w:rsidP="00212424">
            <w:pPr>
              <w:jc w:val="center"/>
            </w:pPr>
            <w:r w:rsidRPr="00B50D36">
              <w:t>•</w:t>
            </w:r>
          </w:p>
        </w:tc>
        <w:tc>
          <w:tcPr>
            <w:tcW w:w="4203" w:type="dxa"/>
            <w:shd w:val="clear" w:color="auto" w:fill="auto"/>
            <w:vAlign w:val="center"/>
          </w:tcPr>
          <w:p w14:paraId="59171F96" w14:textId="77777777" w:rsidR="00A61534" w:rsidRPr="00A61534" w:rsidRDefault="00A61534" w:rsidP="00212424">
            <w:pPr>
              <w:rPr>
                <w:rFonts w:asciiTheme="majorHAnsi" w:hAnsiTheme="majorHAnsi"/>
              </w:rPr>
            </w:pPr>
            <w:r w:rsidRPr="00A61534">
              <w:rPr>
                <w:rFonts w:asciiTheme="majorHAnsi" w:hAnsiTheme="majorHAnsi"/>
              </w:rPr>
              <w:t>State, Local and Federal Treasuries</w:t>
            </w:r>
          </w:p>
        </w:tc>
        <w:tc>
          <w:tcPr>
            <w:tcW w:w="2187" w:type="dxa"/>
            <w:shd w:val="clear" w:color="auto" w:fill="auto"/>
            <w:vAlign w:val="center"/>
          </w:tcPr>
          <w:p w14:paraId="6723A677" w14:textId="77777777" w:rsidR="00A61534" w:rsidRPr="00A61534" w:rsidRDefault="00A61534" w:rsidP="00212424">
            <w:pPr>
              <w:jc w:val="center"/>
              <w:rPr>
                <w:rFonts w:asciiTheme="majorHAnsi" w:hAnsiTheme="majorHAnsi"/>
              </w:rPr>
            </w:pPr>
            <w:r w:rsidRPr="00A61534">
              <w:rPr>
                <w:rFonts w:asciiTheme="majorHAnsi" w:hAnsiTheme="majorHAnsi"/>
              </w:rPr>
              <w:t>$1,130 billion</w:t>
            </w:r>
          </w:p>
        </w:tc>
      </w:tr>
      <w:tr w:rsidR="00BE6E35" w:rsidRPr="00A61534" w14:paraId="0DE845E0" w14:textId="77777777" w:rsidTr="007B50B6">
        <w:trPr>
          <w:trHeight w:val="432"/>
        </w:trPr>
        <w:tc>
          <w:tcPr>
            <w:tcW w:w="536" w:type="dxa"/>
            <w:shd w:val="clear" w:color="auto" w:fill="auto"/>
            <w:vAlign w:val="center"/>
          </w:tcPr>
          <w:p w14:paraId="2C7AAD87" w14:textId="77777777" w:rsidR="00A61534" w:rsidRDefault="00A61534" w:rsidP="00212424">
            <w:pPr>
              <w:jc w:val="center"/>
            </w:pPr>
            <w:r w:rsidRPr="00B50D36">
              <w:t>•</w:t>
            </w:r>
          </w:p>
        </w:tc>
        <w:tc>
          <w:tcPr>
            <w:tcW w:w="4203" w:type="dxa"/>
            <w:shd w:val="clear" w:color="auto" w:fill="auto"/>
            <w:vAlign w:val="center"/>
          </w:tcPr>
          <w:p w14:paraId="795FE137" w14:textId="77777777" w:rsidR="00A61534" w:rsidRPr="00A61534" w:rsidRDefault="00A61534" w:rsidP="00212424">
            <w:pPr>
              <w:rPr>
                <w:rFonts w:asciiTheme="majorHAnsi" w:hAnsiTheme="majorHAnsi"/>
              </w:rPr>
            </w:pPr>
            <w:r w:rsidRPr="00A61534">
              <w:rPr>
                <w:rFonts w:asciiTheme="majorHAnsi" w:hAnsiTheme="majorHAnsi"/>
              </w:rPr>
              <w:t>CO</w:t>
            </w:r>
            <w:r w:rsidRPr="00A61534">
              <w:rPr>
                <w:rFonts w:asciiTheme="majorHAnsi" w:hAnsiTheme="majorHAnsi"/>
                <w:vertAlign w:val="subscript"/>
              </w:rPr>
              <w:t>2</w:t>
            </w:r>
            <w:r w:rsidRPr="00A61534">
              <w:rPr>
                <w:rFonts w:asciiTheme="majorHAnsi" w:hAnsiTheme="majorHAnsi"/>
              </w:rPr>
              <w:t>-EOR Investors (including Return on Capital)</w:t>
            </w:r>
          </w:p>
        </w:tc>
        <w:tc>
          <w:tcPr>
            <w:tcW w:w="2187" w:type="dxa"/>
            <w:shd w:val="clear" w:color="auto" w:fill="auto"/>
            <w:vAlign w:val="center"/>
          </w:tcPr>
          <w:p w14:paraId="6E4FFEA1" w14:textId="77777777" w:rsidR="00A61534" w:rsidRPr="00A61534" w:rsidRDefault="00A61534" w:rsidP="00212424">
            <w:pPr>
              <w:jc w:val="center"/>
              <w:rPr>
                <w:rFonts w:asciiTheme="majorHAnsi" w:hAnsiTheme="majorHAnsi"/>
              </w:rPr>
            </w:pPr>
            <w:r w:rsidRPr="00A61534">
              <w:rPr>
                <w:rFonts w:asciiTheme="majorHAnsi" w:hAnsiTheme="majorHAnsi"/>
              </w:rPr>
              <w:t>$1,270 billion</w:t>
            </w:r>
          </w:p>
        </w:tc>
      </w:tr>
      <w:tr w:rsidR="00BE6E35" w:rsidRPr="00A61534" w14:paraId="6F1D30C8" w14:textId="77777777" w:rsidTr="007B50B6">
        <w:trPr>
          <w:trHeight w:val="432"/>
        </w:trPr>
        <w:tc>
          <w:tcPr>
            <w:tcW w:w="536" w:type="dxa"/>
            <w:shd w:val="clear" w:color="auto" w:fill="auto"/>
            <w:vAlign w:val="center"/>
          </w:tcPr>
          <w:p w14:paraId="22CD5EB2" w14:textId="77777777" w:rsidR="00A61534" w:rsidRDefault="00A61534" w:rsidP="00212424">
            <w:pPr>
              <w:jc w:val="center"/>
            </w:pPr>
            <w:r w:rsidRPr="00B50D36">
              <w:t>•</w:t>
            </w:r>
          </w:p>
        </w:tc>
        <w:tc>
          <w:tcPr>
            <w:tcW w:w="4203" w:type="dxa"/>
            <w:shd w:val="clear" w:color="auto" w:fill="auto"/>
            <w:vAlign w:val="center"/>
          </w:tcPr>
          <w:p w14:paraId="3BB68E9B" w14:textId="77777777" w:rsidR="00A61534" w:rsidRPr="00A61534" w:rsidRDefault="00A61534" w:rsidP="00212424">
            <w:pPr>
              <w:rPr>
                <w:rFonts w:asciiTheme="majorHAnsi" w:hAnsiTheme="majorHAnsi"/>
              </w:rPr>
            </w:pPr>
            <w:r w:rsidRPr="00A61534">
              <w:rPr>
                <w:rFonts w:asciiTheme="majorHAnsi" w:hAnsiTheme="majorHAnsi"/>
              </w:rPr>
              <w:t>General Economy/Mineral Owners</w:t>
            </w:r>
          </w:p>
        </w:tc>
        <w:tc>
          <w:tcPr>
            <w:tcW w:w="2187" w:type="dxa"/>
            <w:shd w:val="clear" w:color="auto" w:fill="auto"/>
            <w:vAlign w:val="center"/>
          </w:tcPr>
          <w:p w14:paraId="6589B622" w14:textId="77777777" w:rsidR="00A61534" w:rsidRPr="00A61534" w:rsidRDefault="00A61534" w:rsidP="00212424">
            <w:pPr>
              <w:jc w:val="center"/>
              <w:rPr>
                <w:rFonts w:asciiTheme="majorHAnsi" w:hAnsiTheme="majorHAnsi"/>
                <w:u w:val="single"/>
              </w:rPr>
            </w:pPr>
            <w:r w:rsidRPr="00A61534">
              <w:rPr>
                <w:rFonts w:asciiTheme="majorHAnsi" w:hAnsiTheme="majorHAnsi"/>
                <w:u w:val="single"/>
              </w:rPr>
              <w:t>$2,060 billion</w:t>
            </w:r>
          </w:p>
        </w:tc>
      </w:tr>
      <w:tr w:rsidR="00BE6E35" w:rsidRPr="00A61534" w14:paraId="70C69D1A" w14:textId="77777777" w:rsidTr="007B50B6">
        <w:trPr>
          <w:trHeight w:val="432"/>
        </w:trPr>
        <w:tc>
          <w:tcPr>
            <w:tcW w:w="536" w:type="dxa"/>
            <w:shd w:val="clear" w:color="auto" w:fill="auto"/>
            <w:vAlign w:val="center"/>
          </w:tcPr>
          <w:p w14:paraId="4DE56137" w14:textId="77777777" w:rsidR="00A61534" w:rsidRPr="00943653" w:rsidRDefault="00A61534" w:rsidP="00212424">
            <w:pPr>
              <w:jc w:val="center"/>
              <w:rPr>
                <w:b/>
              </w:rPr>
            </w:pPr>
          </w:p>
        </w:tc>
        <w:tc>
          <w:tcPr>
            <w:tcW w:w="4203" w:type="dxa"/>
            <w:shd w:val="clear" w:color="auto" w:fill="auto"/>
            <w:vAlign w:val="center"/>
          </w:tcPr>
          <w:p w14:paraId="73CF5EDB" w14:textId="77777777" w:rsidR="00A61534" w:rsidRPr="00A61534" w:rsidRDefault="00A61534" w:rsidP="00212424">
            <w:pPr>
              <w:rPr>
                <w:rFonts w:asciiTheme="majorHAnsi" w:hAnsiTheme="majorHAnsi"/>
                <w:b/>
              </w:rPr>
            </w:pPr>
            <w:r w:rsidRPr="00A61534">
              <w:rPr>
                <w:rFonts w:asciiTheme="majorHAnsi" w:hAnsiTheme="majorHAnsi"/>
                <w:b/>
              </w:rPr>
              <w:t>Total</w:t>
            </w:r>
          </w:p>
        </w:tc>
        <w:tc>
          <w:tcPr>
            <w:tcW w:w="2187" w:type="dxa"/>
            <w:shd w:val="clear" w:color="auto" w:fill="auto"/>
            <w:vAlign w:val="center"/>
          </w:tcPr>
          <w:p w14:paraId="7576FCA1" w14:textId="77777777" w:rsidR="00A61534" w:rsidRPr="00A61534" w:rsidRDefault="00A61534" w:rsidP="00212424">
            <w:pPr>
              <w:jc w:val="center"/>
              <w:rPr>
                <w:rFonts w:asciiTheme="majorHAnsi" w:hAnsiTheme="majorHAnsi"/>
                <w:b/>
              </w:rPr>
            </w:pPr>
            <w:r w:rsidRPr="00A61534">
              <w:rPr>
                <w:rFonts w:asciiTheme="majorHAnsi" w:hAnsiTheme="majorHAnsi"/>
                <w:b/>
              </w:rPr>
              <w:t>$5,670 billion</w:t>
            </w:r>
          </w:p>
        </w:tc>
      </w:tr>
      <w:tr w:rsidR="002D43CE" w:rsidRPr="00A61534" w14:paraId="432CA789" w14:textId="77777777" w:rsidTr="007B50B6">
        <w:trPr>
          <w:trHeight w:val="432"/>
        </w:trPr>
        <w:tc>
          <w:tcPr>
            <w:tcW w:w="6926" w:type="dxa"/>
            <w:gridSpan w:val="3"/>
            <w:shd w:val="clear" w:color="auto" w:fill="auto"/>
            <w:vAlign w:val="center"/>
          </w:tcPr>
          <w:p w14:paraId="0E85EEF3" w14:textId="77777777" w:rsidR="00A61534" w:rsidRPr="00A61534" w:rsidRDefault="00A61534" w:rsidP="00212424">
            <w:pPr>
              <w:pStyle w:val="FigureTableSource"/>
              <w:rPr>
                <w:rFonts w:asciiTheme="majorHAnsi" w:hAnsiTheme="majorHAnsi"/>
                <w:b/>
              </w:rPr>
            </w:pPr>
            <w:r w:rsidRPr="00A61534">
              <w:rPr>
                <w:rFonts w:asciiTheme="majorHAnsi" w:hAnsiTheme="majorHAnsi"/>
                <w:b/>
              </w:rPr>
              <w:t>*Assuming an oil price of $70/B.</w:t>
            </w:r>
          </w:p>
        </w:tc>
      </w:tr>
    </w:tbl>
    <w:p w14:paraId="7E5FE13D" w14:textId="77777777" w:rsidR="00737F07" w:rsidRPr="007B50B6" w:rsidRDefault="00737F07" w:rsidP="00737F07">
      <w:pPr>
        <w:ind w:right="-1008"/>
        <w:rPr>
          <w:rFonts w:asciiTheme="majorHAnsi" w:eastAsia="Times New Roman" w:hAnsiTheme="majorHAnsi" w:cs="Times New Roman"/>
          <w:sz w:val="14"/>
        </w:rPr>
      </w:pPr>
    </w:p>
    <w:p w14:paraId="0B971F1E" w14:textId="08472443" w:rsidR="00C03099" w:rsidRDefault="00C03099" w:rsidP="00C03099">
      <w:pPr>
        <w:ind w:left="360" w:right="-1008"/>
        <w:rPr>
          <w:rFonts w:asciiTheme="majorHAnsi" w:eastAsia="Times New Roman" w:hAnsiTheme="majorHAnsi" w:cs="Times New Roman"/>
        </w:rPr>
      </w:pPr>
      <w:r>
        <w:rPr>
          <w:rFonts w:asciiTheme="majorHAnsi" w:eastAsia="Times New Roman" w:hAnsiTheme="majorHAnsi" w:cs="Times New Roman"/>
        </w:rPr>
        <w:t>Other geologic options include utilization of CO2 in natural gas shale formations, for production of enhanced coal bed methane (ECBM), for enhanced water recovery (EWR) and for enhanced geothermal energy and subsurface energy storage.</w:t>
      </w:r>
    </w:p>
    <w:p w14:paraId="4F5EF0C2" w14:textId="77777777" w:rsidR="00C03099" w:rsidRPr="007B50B6" w:rsidRDefault="00C03099" w:rsidP="00C03099">
      <w:pPr>
        <w:ind w:left="360" w:right="-1008"/>
        <w:rPr>
          <w:rFonts w:asciiTheme="majorHAnsi" w:eastAsia="Times New Roman" w:hAnsiTheme="majorHAnsi" w:cs="Times New Roman"/>
          <w:sz w:val="14"/>
        </w:rPr>
      </w:pPr>
    </w:p>
    <w:p w14:paraId="2D2F6183" w14:textId="0BDC4A03" w:rsidR="009F4FC6" w:rsidRDefault="009F4FC6" w:rsidP="00C03099">
      <w:pPr>
        <w:ind w:left="360" w:right="-1008"/>
        <w:rPr>
          <w:rFonts w:asciiTheme="majorHAnsi" w:eastAsia="Times New Roman" w:hAnsiTheme="majorHAnsi" w:cs="Times New Roman"/>
        </w:rPr>
      </w:pPr>
      <w:r>
        <w:rPr>
          <w:rFonts w:asciiTheme="majorHAnsi" w:eastAsia="Times New Roman" w:hAnsiTheme="majorHAnsi" w:cs="Times New Roman"/>
        </w:rPr>
        <w:t>Non-geologic CO</w:t>
      </w:r>
      <w:r w:rsidRPr="009F4FC6">
        <w:rPr>
          <w:rFonts w:asciiTheme="majorHAnsi" w:eastAsia="Times New Roman" w:hAnsiTheme="majorHAnsi" w:cs="Times New Roman"/>
          <w:vertAlign w:val="subscript"/>
        </w:rPr>
        <w:t>2</w:t>
      </w:r>
      <w:r>
        <w:rPr>
          <w:rFonts w:asciiTheme="majorHAnsi" w:eastAsia="Times New Roman" w:hAnsiTheme="majorHAnsi" w:cs="Times New Roman"/>
        </w:rPr>
        <w:t xml:space="preserve"> utilization options may hold long term </w:t>
      </w:r>
      <w:r w:rsidR="006B1C36">
        <w:rPr>
          <w:rFonts w:asciiTheme="majorHAnsi" w:eastAsia="Times New Roman" w:hAnsiTheme="majorHAnsi" w:cs="Times New Roman"/>
        </w:rPr>
        <w:t xml:space="preserve">potential but are unlikely to significantly incentivize CCUS in the near- to intermediate-term because of technical challenges, GHG lifecycle considerations and issues associated with scalability.  </w:t>
      </w:r>
    </w:p>
    <w:p w14:paraId="086411DD" w14:textId="2BD8A61B" w:rsidR="007B50B6" w:rsidRDefault="007B50B6" w:rsidP="00474775">
      <w:pPr>
        <w:ind w:left="720" w:right="-1008"/>
        <w:rPr>
          <w:rFonts w:asciiTheme="majorHAnsi" w:eastAsia="Times New Roman" w:hAnsiTheme="majorHAnsi" w:cs="Times New Roman"/>
          <w:bCs/>
        </w:rPr>
      </w:pPr>
      <w:r w:rsidRPr="007B50B6">
        <w:rPr>
          <w:rFonts w:asciiTheme="majorHAnsi" w:eastAsia="Times New Roman" w:hAnsiTheme="majorHAnsi" w:cs="Times New Roman"/>
          <w:bCs/>
          <w:noProof/>
        </w:rPr>
        <w:drawing>
          <wp:inline distT="0" distB="0" distL="0" distR="0" wp14:anchorId="31692FE7" wp14:editId="575532C5">
            <wp:extent cx="5486400" cy="3105150"/>
            <wp:effectExtent l="0" t="0" r="0" b="0"/>
            <wp:docPr id="18" name="Picture 11" descr="http://s3platform.jrc.ec.europa.eu/documents/20182/155174/pic+1.png/a991ed71-349f-4035-b946-e21c82d3022b?t=1457020165444"/>
            <wp:cNvGraphicFramePr/>
            <a:graphic xmlns:a="http://schemas.openxmlformats.org/drawingml/2006/main">
              <a:graphicData uri="http://schemas.openxmlformats.org/drawingml/2006/picture">
                <pic:pic xmlns:pic="http://schemas.openxmlformats.org/drawingml/2006/picture">
                  <pic:nvPicPr>
                    <pic:cNvPr id="12" name="Picture 11" descr="http://s3platform.jrc.ec.europa.eu/documents/20182/155174/pic+1.png/a991ed71-349f-4035-b946-e21c82d3022b?t=1457020165444"/>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105150"/>
                    </a:xfrm>
                    <a:prstGeom prst="rect">
                      <a:avLst/>
                    </a:prstGeom>
                    <a:noFill/>
                    <a:ln>
                      <a:noFill/>
                    </a:ln>
                  </pic:spPr>
                </pic:pic>
              </a:graphicData>
            </a:graphic>
          </wp:inline>
        </w:drawing>
      </w:r>
    </w:p>
    <w:p w14:paraId="584EC6CC" w14:textId="77777777" w:rsidR="000A4372" w:rsidRPr="00474775" w:rsidRDefault="008651AA" w:rsidP="00474775">
      <w:pPr>
        <w:ind w:left="720" w:right="-1008"/>
        <w:rPr>
          <w:rFonts w:asciiTheme="majorHAnsi" w:eastAsia="Times New Roman" w:hAnsiTheme="majorHAnsi" w:cs="Times New Roman"/>
        </w:rPr>
      </w:pPr>
      <w:r w:rsidRPr="00474775">
        <w:rPr>
          <w:rFonts w:asciiTheme="majorHAnsi" w:eastAsia="Times New Roman" w:hAnsiTheme="majorHAnsi" w:cs="Times New Roman"/>
          <w:bCs/>
        </w:rPr>
        <w:t xml:space="preserve">Some non-geologic utilization opportunities are promising incentives for CCUS in that they tend to “fix” CO2 so have the advantage of potentially serving as preferred carbon management solutions.  These include (1) inorganic carbonates and bicarbonates; (2) plastics and polymers; (3) organic and specialty chemicals; and (4) agricultural fertilizers. </w:t>
      </w:r>
    </w:p>
    <w:p w14:paraId="5BA54265" w14:textId="5CE923B5" w:rsidR="000A4372" w:rsidRPr="00474775" w:rsidRDefault="0007783F" w:rsidP="00474775">
      <w:pPr>
        <w:ind w:left="720" w:right="-1008"/>
        <w:rPr>
          <w:rFonts w:asciiTheme="majorHAnsi" w:eastAsia="Times New Roman" w:hAnsiTheme="majorHAnsi" w:cs="Times New Roman"/>
        </w:rPr>
      </w:pPr>
      <w:r w:rsidRPr="00CB36B7">
        <w:rPr>
          <w:noProof/>
        </w:rPr>
        <w:lastRenderedPageBreak/>
        <mc:AlternateContent>
          <mc:Choice Requires="wpg">
            <w:drawing>
              <wp:anchor distT="0" distB="0" distL="228600" distR="228600" simplePos="0" relativeHeight="251639296" behindDoc="1" locked="0" layoutInCell="1" allowOverlap="1" wp14:anchorId="26B9594A" wp14:editId="1A485D71">
                <wp:simplePos x="0" y="0"/>
                <wp:positionH relativeFrom="margin">
                  <wp:posOffset>4420235</wp:posOffset>
                </wp:positionH>
                <wp:positionV relativeFrom="margin">
                  <wp:posOffset>0</wp:posOffset>
                </wp:positionV>
                <wp:extent cx="1878330" cy="8562340"/>
                <wp:effectExtent l="0" t="0" r="26670" b="0"/>
                <wp:wrapSquare wrapText="bothSides"/>
                <wp:docPr id="19" name="Group 19"/>
                <wp:cNvGraphicFramePr/>
                <a:graphic xmlns:a="http://schemas.openxmlformats.org/drawingml/2006/main">
                  <a:graphicData uri="http://schemas.microsoft.com/office/word/2010/wordprocessingGroup">
                    <wpg:wgp>
                      <wpg:cNvGrpSpPr/>
                      <wpg:grpSpPr>
                        <a:xfrm>
                          <a:off x="0" y="0"/>
                          <a:ext cx="1878330" cy="8562340"/>
                          <a:chOff x="8796" y="2930"/>
                          <a:chExt cx="1879262" cy="8234109"/>
                        </a:xfrm>
                      </wpg:grpSpPr>
                      <wps:wsp>
                        <wps:cNvPr id="20" name="Rectangle 20"/>
                        <wps:cNvSpPr/>
                        <wps:spPr>
                          <a:xfrm>
                            <a:off x="29318" y="293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8100" y="677818"/>
                            <a:ext cx="1828800" cy="755922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E757C2" w14:textId="77777777" w:rsidR="0007783F" w:rsidRPr="0007783F" w:rsidRDefault="0007783F" w:rsidP="0007783F">
                              <w:pPr>
                                <w:rPr>
                                  <w:rFonts w:asciiTheme="majorHAnsi" w:hAnsiTheme="majorHAnsi"/>
                                  <w:color w:val="FFFFFF" w:themeColor="background1"/>
                                </w:rPr>
                              </w:pPr>
                              <w:r w:rsidRPr="0007783F">
                                <w:rPr>
                                  <w:rFonts w:asciiTheme="majorHAnsi" w:hAnsiTheme="majorHAnsi"/>
                                  <w:color w:val="FFFFFF" w:themeColor="background1"/>
                                </w:rPr>
                                <w:t>The CO</w:t>
                              </w:r>
                              <w:r w:rsidRPr="0007783F">
                                <w:rPr>
                                  <w:rFonts w:asciiTheme="majorHAnsi" w:hAnsiTheme="majorHAnsi"/>
                                  <w:color w:val="FFFFFF" w:themeColor="background1"/>
                                  <w:vertAlign w:val="subscript"/>
                                </w:rPr>
                                <w:t>2</w:t>
                              </w:r>
                              <w:r w:rsidRPr="0007783F">
                                <w:rPr>
                                  <w:rFonts w:asciiTheme="majorHAnsi" w:hAnsiTheme="majorHAnsi"/>
                                  <w:color w:val="FFFFFF" w:themeColor="background1"/>
                                </w:rPr>
                                <w:t xml:space="preserve"> molecule is particularly stable and has a Gibbs energy of formation of -394.4 kJ/mol – which must be overcome. </w:t>
                              </w:r>
                            </w:p>
                            <w:p w14:paraId="271E98B3" w14:textId="77777777" w:rsidR="0007783F" w:rsidRPr="0007783F" w:rsidRDefault="0007783F" w:rsidP="0007783F">
                              <w:pPr>
                                <w:rPr>
                                  <w:rFonts w:asciiTheme="majorHAnsi" w:hAnsiTheme="majorHAnsi"/>
                                  <w:color w:val="FFFFFF" w:themeColor="background1"/>
                                </w:rPr>
                              </w:pPr>
                              <w:r w:rsidRPr="0007783F">
                                <w:rPr>
                                  <w:rFonts w:asciiTheme="majorHAnsi" w:hAnsiTheme="majorHAnsi"/>
                                  <w:color w:val="FFFFFF" w:themeColor="background1"/>
                                </w:rPr>
                                <w:t>Thus, breaking the C=O bond(s) and forming C-H or C-C bond(s), or producing elemental carbon, is possible. However, such molecules are at a much higher energy state, meaning that a tremendous amount of energy must be used. Converting CO</w:t>
                              </w:r>
                              <w:r w:rsidRPr="0007783F">
                                <w:rPr>
                                  <w:rFonts w:asciiTheme="majorHAnsi" w:hAnsiTheme="majorHAnsi"/>
                                  <w:color w:val="FFFFFF" w:themeColor="background1"/>
                                  <w:vertAlign w:val="subscript"/>
                                </w:rPr>
                                <w:t>2</w:t>
                              </w:r>
                              <w:r w:rsidRPr="0007783F">
                                <w:rPr>
                                  <w:rFonts w:asciiTheme="majorHAnsi" w:hAnsiTheme="majorHAnsi"/>
                                  <w:color w:val="FFFFFF" w:themeColor="background1"/>
                                </w:rPr>
                                <w:t xml:space="preserve"> to fuels or other high energy state molecules requires more energy input than could ever be derived from the end products.  </w:t>
                              </w:r>
                            </w:p>
                            <w:p w14:paraId="5BD4E218" w14:textId="77777777" w:rsidR="0007783F" w:rsidRPr="0007783F" w:rsidRDefault="0007783F" w:rsidP="0007783F">
                              <w:pPr>
                                <w:rPr>
                                  <w:rFonts w:asciiTheme="majorHAnsi" w:hAnsiTheme="majorHAnsi"/>
                                  <w:color w:val="FFFFFF" w:themeColor="background1"/>
                                </w:rPr>
                              </w:pPr>
                              <w:r w:rsidRPr="0007783F">
                                <w:rPr>
                                  <w:rFonts w:asciiTheme="majorHAnsi" w:hAnsiTheme="majorHAnsi"/>
                                  <w:color w:val="FFFFFF" w:themeColor="background1"/>
                                </w:rPr>
                                <w:t>CO</w:t>
                              </w:r>
                              <w:r w:rsidRPr="0007783F">
                                <w:rPr>
                                  <w:rFonts w:asciiTheme="majorHAnsi" w:hAnsiTheme="majorHAnsi"/>
                                  <w:color w:val="FFFFFF" w:themeColor="background1"/>
                                  <w:vertAlign w:val="subscript"/>
                                </w:rPr>
                                <w:t>2</w:t>
                              </w:r>
                              <w:r w:rsidRPr="0007783F">
                                <w:rPr>
                                  <w:rFonts w:asciiTheme="majorHAnsi" w:hAnsiTheme="majorHAnsi"/>
                                  <w:color w:val="FFFFFF" w:themeColor="background1"/>
                                </w:rPr>
                                <w:t xml:space="preserve"> can also be incorporated into various chemicals as a C</w:t>
                              </w:r>
                              <w:r w:rsidRPr="0007783F">
                                <w:rPr>
                                  <w:rFonts w:asciiTheme="majorHAnsi" w:hAnsiTheme="majorHAnsi"/>
                                  <w:color w:val="FFFFFF" w:themeColor="background1"/>
                                  <w:vertAlign w:val="subscript"/>
                                </w:rPr>
                                <w:t>1</w:t>
                              </w:r>
                              <w:r w:rsidRPr="0007783F">
                                <w:rPr>
                                  <w:rFonts w:asciiTheme="majorHAnsi" w:hAnsiTheme="majorHAnsi"/>
                                  <w:color w:val="FFFFFF" w:themeColor="background1"/>
                                </w:rPr>
                                <w:t xml:space="preserve"> building block. This is not thermodynamically challenged because the entirety of the CO</w:t>
                              </w:r>
                              <w:r w:rsidRPr="0007783F">
                                <w:rPr>
                                  <w:rFonts w:asciiTheme="majorHAnsi" w:hAnsiTheme="majorHAnsi"/>
                                  <w:color w:val="FFFFFF" w:themeColor="background1"/>
                                  <w:vertAlign w:val="subscript"/>
                                </w:rPr>
                                <w:t>2</w:t>
                              </w:r>
                              <w:r w:rsidRPr="0007783F">
                                <w:rPr>
                                  <w:rFonts w:asciiTheme="majorHAnsi" w:hAnsiTheme="majorHAnsi"/>
                                  <w:color w:val="FFFFFF" w:themeColor="background1"/>
                                </w:rPr>
                                <w:t xml:space="preserve"> molecule is used and thus the C=O bonds are not broken. For this application, the principal challenge is the scale of available reactants and market for products, both of which are dwarfed by global CO</w:t>
                              </w:r>
                              <w:r w:rsidRPr="0007783F">
                                <w:rPr>
                                  <w:rFonts w:asciiTheme="majorHAnsi" w:hAnsiTheme="majorHAnsi"/>
                                  <w:color w:val="FFFFFF" w:themeColor="background1"/>
                                  <w:vertAlign w:val="subscript"/>
                                </w:rPr>
                                <w:t>2</w:t>
                              </w:r>
                              <w:r w:rsidRPr="0007783F">
                                <w:rPr>
                                  <w:rFonts w:asciiTheme="majorHAnsi" w:hAnsiTheme="majorHAnsi"/>
                                  <w:color w:val="FFFFFF" w:themeColor="background1"/>
                                </w:rPr>
                                <w:t xml:space="preserve"> emissions.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2" name="Text Box 22"/>
                        <wps:cNvSpPr txBox="1"/>
                        <wps:spPr>
                          <a:xfrm>
                            <a:off x="8796" y="140965"/>
                            <a:ext cx="1879262" cy="530270"/>
                          </a:xfrm>
                          <a:prstGeom prst="rect">
                            <a:avLst/>
                          </a:prstGeom>
                          <a:solidFill>
                            <a:schemeClr val="bg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0F28F1C" w14:textId="77777777" w:rsidR="0007783F" w:rsidRPr="00617DDA" w:rsidRDefault="0007783F" w:rsidP="0007783F">
                              <w:pPr>
                                <w:pStyle w:val="NoSpacing"/>
                                <w:jc w:val="center"/>
                                <w:rPr>
                                  <w:rFonts w:asciiTheme="majorHAnsi" w:eastAsiaTheme="majorEastAsia" w:hAnsiTheme="majorHAnsi" w:cstheme="majorBidi"/>
                                  <w:caps/>
                                  <w:color w:val="4F81BD" w:themeColor="accent1"/>
                                </w:rPr>
                              </w:pPr>
                              <w:r w:rsidRPr="00617DDA">
                                <w:rPr>
                                  <w:rFonts w:asciiTheme="majorHAnsi" w:eastAsiaTheme="majorEastAsia" w:hAnsiTheme="majorHAnsi" w:cstheme="majorBidi"/>
                                  <w:caps/>
                                  <w:color w:val="4F81BD" w:themeColor="accent1"/>
                                </w:rPr>
                                <w:t>Thermodynamics &amp; kinetics of CO</w:t>
                              </w:r>
                              <w:r w:rsidRPr="00617DDA">
                                <w:rPr>
                                  <w:rFonts w:asciiTheme="majorHAnsi" w:eastAsiaTheme="majorEastAsia" w:hAnsiTheme="majorHAnsi" w:cstheme="majorBidi"/>
                                  <w:caps/>
                                  <w:color w:val="4F81BD" w:themeColor="accent1"/>
                                  <w:vertAlign w:val="subscript"/>
                                </w:rPr>
                                <w:t>2</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9594A" id="Group 19" o:spid="_x0000_s1026" style="position:absolute;left:0;text-align:left;margin-left:348.05pt;margin-top:0;width:147.9pt;height:674.2pt;z-index:-251677184;mso-wrap-distance-left:18pt;mso-wrap-distance-right:18pt;mso-position-horizontal-relative:margin;mso-position-vertical-relative:margin;mso-width-relative:margin;mso-height-relative:margin" coordorigin="87,29" coordsize="18792,8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">
                <v:rect id="Rectangle 20" o:spid="_x0000_s1027" style="position:absolute;left:293;top:29;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aLcAA&#10;AADbAAAADwAAAGRycy9kb3ducmV2LnhtbERPz2vCMBS+C/4P4Qm7aaowkc4oKigenYpst0fzbMqa&#10;l9CktvrXL4fBjh/f7+W6t7V4UBMqxwqmkwwEceF0xaWC62U/XoAIEVlj7ZgUPCnAejUcLDHXruNP&#10;epxjKVIIhxwVmBh9LmUoDFkME+eJE3d3jcWYYFNK3WCXwm0tZ1k2lxYrTg0GPe0MFT/n1irwh+vp&#10;+262vps/b++Hvmy/XlWr1Nuo33yAiNTHf/Gf+6gVzNL69CX9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XaLcAAAADbAAAADwAAAAAAAAAAAAAAAACYAgAAZHJzL2Rvd25y&#10;ZXYueG1sUEsFBgAAAAAEAAQA9QAAAIUDAAAAAA==&#10;" fillcolor="#4f81bd [3204]" stroked="f" strokeweight="2pt"/>
                <v:rect id="Rectangle 21" o:spid="_x0000_s1028" style="position:absolute;left:381;top:6778;width:18288;height:75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6XsUA&#10;AADbAAAADwAAAGRycy9kb3ducmV2LnhtbESPQWsCMRSE74X+h/AKvdXseih2NYpIW3ooiFZRb8/k&#10;ubu4edkmcV3/fVMo9DjMzDfMZNbbRnTkQ+1YQT7IQBBrZ2ouFWy+3p5GIEJENtg4JgU3CjCb3t9N&#10;sDDuyivq1rEUCcKhQAVVjG0hZdAVWQwD1xIn7+S8xZikL6XxeE1w28hhlj1LizWnhQpbWlSkz+uL&#10;VXB89/p7uW0PG3N5yXf77vM1L7VSjw/9fAwiUh//w3/tD6NgmMPvl/QD5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HpexQAAANsAAAAPAAAAAAAAAAAAAAAAAJgCAABkcnMv&#10;ZG93bnJldi54bWxQSwUGAAAAAAQABAD1AAAAigMAAAAA&#10;" fillcolor="#4f81bd [3204]" stroked="f" strokeweight="2pt">
                  <v:textbox inset=",14.4pt,8.64pt,18pt">
                    <w:txbxContent>
                      <w:p w14:paraId="55E757C2" w14:textId="77777777" w:rsidR="0007783F" w:rsidRPr="0007783F" w:rsidRDefault="0007783F" w:rsidP="0007783F">
                        <w:pPr>
                          <w:rPr>
                            <w:rFonts w:asciiTheme="majorHAnsi" w:hAnsiTheme="majorHAnsi"/>
                            <w:color w:val="FFFFFF" w:themeColor="background1"/>
                          </w:rPr>
                        </w:pPr>
                        <w:r w:rsidRPr="0007783F">
                          <w:rPr>
                            <w:rFonts w:asciiTheme="majorHAnsi" w:hAnsiTheme="majorHAnsi"/>
                            <w:color w:val="FFFFFF" w:themeColor="background1"/>
                          </w:rPr>
                          <w:t>The CO</w:t>
                        </w:r>
                        <w:r w:rsidRPr="0007783F">
                          <w:rPr>
                            <w:rFonts w:asciiTheme="majorHAnsi" w:hAnsiTheme="majorHAnsi"/>
                            <w:color w:val="FFFFFF" w:themeColor="background1"/>
                            <w:vertAlign w:val="subscript"/>
                          </w:rPr>
                          <w:t>2</w:t>
                        </w:r>
                        <w:r w:rsidRPr="0007783F">
                          <w:rPr>
                            <w:rFonts w:asciiTheme="majorHAnsi" w:hAnsiTheme="majorHAnsi"/>
                            <w:color w:val="FFFFFF" w:themeColor="background1"/>
                          </w:rPr>
                          <w:t xml:space="preserve"> molecule is particularly stable and has a Gibbs energy of formation of -394.4 kJ/mol – which must be overcome. </w:t>
                        </w:r>
                      </w:p>
                      <w:p w14:paraId="271E98B3" w14:textId="77777777" w:rsidR="0007783F" w:rsidRPr="0007783F" w:rsidRDefault="0007783F" w:rsidP="0007783F">
                        <w:pPr>
                          <w:rPr>
                            <w:rFonts w:asciiTheme="majorHAnsi" w:hAnsiTheme="majorHAnsi"/>
                            <w:color w:val="FFFFFF" w:themeColor="background1"/>
                          </w:rPr>
                        </w:pPr>
                        <w:r w:rsidRPr="0007783F">
                          <w:rPr>
                            <w:rFonts w:asciiTheme="majorHAnsi" w:hAnsiTheme="majorHAnsi"/>
                            <w:color w:val="FFFFFF" w:themeColor="background1"/>
                          </w:rPr>
                          <w:t>Thus, breaking the C=O bond(s) and forming C-H or C-C bond(s), or producing elemental carbon, is possible. However, such molecules are at a much higher energy state, meaning that a tremendous amount of energy must be used. Converting CO</w:t>
                        </w:r>
                        <w:r w:rsidRPr="0007783F">
                          <w:rPr>
                            <w:rFonts w:asciiTheme="majorHAnsi" w:hAnsiTheme="majorHAnsi"/>
                            <w:color w:val="FFFFFF" w:themeColor="background1"/>
                            <w:vertAlign w:val="subscript"/>
                          </w:rPr>
                          <w:t>2</w:t>
                        </w:r>
                        <w:r w:rsidRPr="0007783F">
                          <w:rPr>
                            <w:rFonts w:asciiTheme="majorHAnsi" w:hAnsiTheme="majorHAnsi"/>
                            <w:color w:val="FFFFFF" w:themeColor="background1"/>
                          </w:rPr>
                          <w:t xml:space="preserve"> to fuels or other high energy state molecules requires more energy input than could ever be derived from the end products.  </w:t>
                        </w:r>
                      </w:p>
                      <w:p w14:paraId="5BD4E218" w14:textId="77777777" w:rsidR="0007783F" w:rsidRPr="0007783F" w:rsidRDefault="0007783F" w:rsidP="0007783F">
                        <w:pPr>
                          <w:rPr>
                            <w:rFonts w:asciiTheme="majorHAnsi" w:hAnsiTheme="majorHAnsi"/>
                            <w:color w:val="FFFFFF" w:themeColor="background1"/>
                          </w:rPr>
                        </w:pPr>
                        <w:r w:rsidRPr="0007783F">
                          <w:rPr>
                            <w:rFonts w:asciiTheme="majorHAnsi" w:hAnsiTheme="majorHAnsi"/>
                            <w:color w:val="FFFFFF" w:themeColor="background1"/>
                          </w:rPr>
                          <w:t>CO</w:t>
                        </w:r>
                        <w:r w:rsidRPr="0007783F">
                          <w:rPr>
                            <w:rFonts w:asciiTheme="majorHAnsi" w:hAnsiTheme="majorHAnsi"/>
                            <w:color w:val="FFFFFF" w:themeColor="background1"/>
                            <w:vertAlign w:val="subscript"/>
                          </w:rPr>
                          <w:t>2</w:t>
                        </w:r>
                        <w:r w:rsidRPr="0007783F">
                          <w:rPr>
                            <w:rFonts w:asciiTheme="majorHAnsi" w:hAnsiTheme="majorHAnsi"/>
                            <w:color w:val="FFFFFF" w:themeColor="background1"/>
                          </w:rPr>
                          <w:t xml:space="preserve"> can also be incorporated into various chemicals as a C</w:t>
                        </w:r>
                        <w:r w:rsidRPr="0007783F">
                          <w:rPr>
                            <w:rFonts w:asciiTheme="majorHAnsi" w:hAnsiTheme="majorHAnsi"/>
                            <w:color w:val="FFFFFF" w:themeColor="background1"/>
                            <w:vertAlign w:val="subscript"/>
                          </w:rPr>
                          <w:t>1</w:t>
                        </w:r>
                        <w:r w:rsidRPr="0007783F">
                          <w:rPr>
                            <w:rFonts w:asciiTheme="majorHAnsi" w:hAnsiTheme="majorHAnsi"/>
                            <w:color w:val="FFFFFF" w:themeColor="background1"/>
                          </w:rPr>
                          <w:t xml:space="preserve"> building block. This is not thermodynamically challenged because the entirety of the CO</w:t>
                        </w:r>
                        <w:r w:rsidRPr="0007783F">
                          <w:rPr>
                            <w:rFonts w:asciiTheme="majorHAnsi" w:hAnsiTheme="majorHAnsi"/>
                            <w:color w:val="FFFFFF" w:themeColor="background1"/>
                            <w:vertAlign w:val="subscript"/>
                          </w:rPr>
                          <w:t>2</w:t>
                        </w:r>
                        <w:r w:rsidRPr="0007783F">
                          <w:rPr>
                            <w:rFonts w:asciiTheme="majorHAnsi" w:hAnsiTheme="majorHAnsi"/>
                            <w:color w:val="FFFFFF" w:themeColor="background1"/>
                          </w:rPr>
                          <w:t xml:space="preserve"> molecule is used and thus the C=O bonds are not broken. For this application, the principal challenge is the scale of available reactants and market for products, both of which are dwarfed by global CO</w:t>
                        </w:r>
                        <w:r w:rsidRPr="0007783F">
                          <w:rPr>
                            <w:rFonts w:asciiTheme="majorHAnsi" w:hAnsiTheme="majorHAnsi"/>
                            <w:color w:val="FFFFFF" w:themeColor="background1"/>
                            <w:vertAlign w:val="subscript"/>
                          </w:rPr>
                          <w:t>2</w:t>
                        </w:r>
                        <w:r w:rsidRPr="0007783F">
                          <w:rPr>
                            <w:rFonts w:asciiTheme="majorHAnsi" w:hAnsiTheme="majorHAnsi"/>
                            <w:color w:val="FFFFFF" w:themeColor="background1"/>
                          </w:rPr>
                          <w:t xml:space="preserve"> emissions. </w:t>
                        </w:r>
                      </w:p>
                    </w:txbxContent>
                  </v:textbox>
                </v:rect>
                <v:shapetype id="_x0000_t202" coordsize="21600,21600" o:spt="202" path="m,l,21600r21600,l21600,xe">
                  <v:stroke joinstyle="miter"/>
                  <v:path gradientshapeok="t" o:connecttype="rect"/>
                </v:shapetype>
                <v:shape id="Text Box 22" o:spid="_x0000_s1029" type="#_x0000_t202" style="position:absolute;left:87;top:1409;width:18793;height:5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VvMMA&#10;AADbAAAADwAAAGRycy9kb3ducmV2LnhtbESPQWvCQBSE7wX/w/IEb3VjwFaiq6ggWBHFqPdH9plE&#10;s29DdmvSf+8WCj0OM/MNM1t0phJPalxpWcFoGIEgzqwuOVdwOW/eJyCcR9ZYWSYFP+RgMe+9zTDR&#10;tuUTPVOfiwBhl6CCwvs6kdJlBRl0Q1sTB+9mG4M+yCaXusE2wE0l4yj6kAZLDgsF1rQuKHuk30bB&#10;rjp+Xfef4/Z+SHd5t1rqw+PqlRr0u+UUhKfO/4f/2lutII7h9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TVvMMAAADbAAAADwAAAAAAAAAAAAAAAACYAgAAZHJzL2Rv&#10;d25yZXYueG1sUEsFBgAAAAAEAAQA9QAAAIgDAAAAAA==&#10;" fillcolor="white [3212]" strokecolor="#4f81bd [3204]" strokeweight=".5pt">
                  <v:textbox inset=",7.2pt,,7.2pt">
                    <w:txbxContent>
                      <w:p w14:paraId="10F28F1C" w14:textId="77777777" w:rsidR="0007783F" w:rsidRPr="00617DDA" w:rsidRDefault="0007783F" w:rsidP="0007783F">
                        <w:pPr>
                          <w:pStyle w:val="NoSpacing"/>
                          <w:jc w:val="center"/>
                          <w:rPr>
                            <w:rFonts w:asciiTheme="majorHAnsi" w:eastAsiaTheme="majorEastAsia" w:hAnsiTheme="majorHAnsi" w:cstheme="majorBidi"/>
                            <w:caps/>
                            <w:color w:val="4F81BD" w:themeColor="accent1"/>
                          </w:rPr>
                        </w:pPr>
                        <w:r w:rsidRPr="00617DDA">
                          <w:rPr>
                            <w:rFonts w:asciiTheme="majorHAnsi" w:eastAsiaTheme="majorEastAsia" w:hAnsiTheme="majorHAnsi" w:cstheme="majorBidi"/>
                            <w:caps/>
                            <w:color w:val="4F81BD" w:themeColor="accent1"/>
                          </w:rPr>
                          <w:t>Thermodynamics &amp; kinetics of CO</w:t>
                        </w:r>
                        <w:r w:rsidRPr="00617DDA">
                          <w:rPr>
                            <w:rFonts w:asciiTheme="majorHAnsi" w:eastAsiaTheme="majorEastAsia" w:hAnsiTheme="majorHAnsi" w:cstheme="majorBidi"/>
                            <w:caps/>
                            <w:color w:val="4F81BD" w:themeColor="accent1"/>
                            <w:vertAlign w:val="subscript"/>
                          </w:rPr>
                          <w:t>2</w:t>
                        </w:r>
                      </w:p>
                    </w:txbxContent>
                  </v:textbox>
                </v:shape>
                <w10:wrap type="square" anchorx="margin" anchory="margin"/>
              </v:group>
            </w:pict>
          </mc:Fallback>
        </mc:AlternateContent>
      </w:r>
      <w:r w:rsidR="008651AA" w:rsidRPr="00474775">
        <w:rPr>
          <w:rFonts w:asciiTheme="majorHAnsi" w:eastAsia="Times New Roman" w:hAnsiTheme="majorHAnsi" w:cs="Times New Roman"/>
          <w:bCs/>
        </w:rPr>
        <w:t>CO</w:t>
      </w:r>
      <w:r w:rsidR="008651AA" w:rsidRPr="00474775">
        <w:rPr>
          <w:rFonts w:asciiTheme="majorHAnsi" w:eastAsia="Times New Roman" w:hAnsiTheme="majorHAnsi" w:cs="Times New Roman"/>
          <w:bCs/>
          <w:vertAlign w:val="subscript"/>
        </w:rPr>
        <w:t>2</w:t>
      </w:r>
      <w:r w:rsidR="008651AA" w:rsidRPr="00474775">
        <w:rPr>
          <w:rFonts w:asciiTheme="majorHAnsi" w:eastAsia="Times New Roman" w:hAnsiTheme="majorHAnsi" w:cs="Times New Roman"/>
          <w:bCs/>
        </w:rPr>
        <w:t xml:space="preserve"> may also be utilized through chemical and biological processes to produce transportation fuels, which is a very large market. This pathway is unlikely to incentivize CCUS in the immediate future because 1) these fuels are ultimately combusted and thus release CO</w:t>
      </w:r>
      <w:r w:rsidR="008651AA" w:rsidRPr="00474775">
        <w:rPr>
          <w:rFonts w:asciiTheme="majorHAnsi" w:eastAsia="Times New Roman" w:hAnsiTheme="majorHAnsi" w:cs="Times New Roman"/>
          <w:bCs/>
          <w:vertAlign w:val="subscript"/>
        </w:rPr>
        <w:t>2</w:t>
      </w:r>
      <w:r w:rsidR="008651AA" w:rsidRPr="00474775">
        <w:rPr>
          <w:rFonts w:asciiTheme="majorHAnsi" w:eastAsia="Times New Roman" w:hAnsiTheme="majorHAnsi" w:cs="Times New Roman"/>
          <w:bCs/>
        </w:rPr>
        <w:t xml:space="preserve"> to the atmosphere and 2) current U.S. policy favors geologic-based utilization pathways for CAA compliance. And while the case could be made that some CO</w:t>
      </w:r>
      <w:r w:rsidR="008651AA" w:rsidRPr="00474775">
        <w:rPr>
          <w:rFonts w:asciiTheme="majorHAnsi" w:eastAsia="Times New Roman" w:hAnsiTheme="majorHAnsi" w:cs="Times New Roman"/>
          <w:bCs/>
          <w:vertAlign w:val="subscript"/>
        </w:rPr>
        <w:t>2</w:t>
      </w:r>
      <w:r w:rsidR="008651AA" w:rsidRPr="00474775">
        <w:rPr>
          <w:rFonts w:asciiTheme="majorHAnsi" w:eastAsia="Times New Roman" w:hAnsiTheme="majorHAnsi" w:cs="Times New Roman"/>
          <w:bCs/>
        </w:rPr>
        <w:t>-derived transportation fuels have lower GHG emissions than fossil-based fuels on a GHG LCA basis, non-fossil-based transportation fuels still face significant market competition and displacement hurdles.</w:t>
      </w:r>
    </w:p>
    <w:p w14:paraId="40FCDB92" w14:textId="770BC9C4" w:rsidR="00001114" w:rsidRDefault="002D43CE" w:rsidP="0007783F">
      <w:pPr>
        <w:ind w:right="-1008"/>
        <w:jc w:val="center"/>
        <w:rPr>
          <w:rFonts w:asciiTheme="majorHAnsi" w:eastAsia="Times New Roman" w:hAnsiTheme="majorHAnsi" w:cs="Times New Roman"/>
        </w:rPr>
      </w:pPr>
      <w:r>
        <w:rPr>
          <w:noProof/>
        </w:rPr>
        <w:drawing>
          <wp:inline distT="0" distB="0" distL="0" distR="0" wp14:anchorId="7951D013" wp14:editId="54F1C717">
            <wp:extent cx="1841619" cy="1016884"/>
            <wp:effectExtent l="0" t="0" r="6350" b="0"/>
            <wp:docPr id="17" name="Picture 17" descr="http://www.ces.fau.edu/ces/nasa/images/Energy/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s.fau.edu/ces/nasa/images/Energy/CO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4776" cy="1018627"/>
                    </a:xfrm>
                    <a:prstGeom prst="rect">
                      <a:avLst/>
                    </a:prstGeom>
                    <a:noFill/>
                    <a:ln>
                      <a:noFill/>
                    </a:ln>
                  </pic:spPr>
                </pic:pic>
              </a:graphicData>
            </a:graphic>
          </wp:inline>
        </w:drawing>
      </w:r>
    </w:p>
    <w:p w14:paraId="29D16171" w14:textId="3086DA53" w:rsidR="0007783F" w:rsidRDefault="006D5474" w:rsidP="0007783F">
      <w:pPr>
        <w:ind w:right="-1008"/>
        <w:rPr>
          <w:rFonts w:asciiTheme="majorHAnsi" w:eastAsia="Times New Roman" w:hAnsiTheme="majorHAnsi" w:cs="Times New Roman"/>
        </w:rPr>
      </w:pPr>
      <w:r>
        <w:rPr>
          <w:rFonts w:asciiTheme="majorHAnsi" w:eastAsia="Times New Roman" w:hAnsiTheme="majorHAnsi" w:cs="Times New Roman"/>
        </w:rPr>
        <w:t>It can be challenging to compare CO</w:t>
      </w:r>
      <w:r w:rsidRPr="006D5474">
        <w:rPr>
          <w:rFonts w:asciiTheme="majorHAnsi" w:eastAsia="Times New Roman" w:hAnsiTheme="majorHAnsi" w:cs="Times New Roman"/>
          <w:vertAlign w:val="subscript"/>
        </w:rPr>
        <w:t>2</w:t>
      </w:r>
      <w:r>
        <w:rPr>
          <w:rFonts w:asciiTheme="majorHAnsi" w:eastAsia="Times New Roman" w:hAnsiTheme="majorHAnsi" w:cs="Times New Roman"/>
        </w:rPr>
        <w:t xml:space="preserve"> utilization technologies because they face different growth and economic challenges.  For example, some are more mature than others; some require infrastructure while others require RD&amp;D; and some create large potential demand for CO</w:t>
      </w:r>
      <w:r w:rsidRPr="006D5474">
        <w:rPr>
          <w:rFonts w:asciiTheme="majorHAnsi" w:eastAsia="Times New Roman" w:hAnsiTheme="majorHAnsi" w:cs="Times New Roman"/>
          <w:vertAlign w:val="subscript"/>
        </w:rPr>
        <w:t>2</w:t>
      </w:r>
      <w:r>
        <w:rPr>
          <w:rFonts w:asciiTheme="majorHAnsi" w:eastAsia="Times New Roman" w:hAnsiTheme="majorHAnsi" w:cs="Times New Roman"/>
        </w:rPr>
        <w:t xml:space="preserve"> while others are more modest.  The development of an objective technology/product review process can help to identify technology strengths and weaknesses, therefore contributing to a more robust technology development and investment strategy.</w:t>
      </w:r>
      <w:r w:rsidR="00F22362">
        <w:rPr>
          <w:rFonts w:asciiTheme="majorHAnsi" w:eastAsia="Times New Roman" w:hAnsiTheme="majorHAnsi" w:cs="Times New Roman"/>
        </w:rPr>
        <w:t xml:space="preserve">  Important factors for consideration should include:</w:t>
      </w:r>
    </w:p>
    <w:p w14:paraId="1BD00CC1" w14:textId="0579F2D6" w:rsidR="00F22362" w:rsidRPr="00F22362" w:rsidRDefault="00F22362" w:rsidP="0007783F">
      <w:pPr>
        <w:ind w:right="-1008"/>
        <w:rPr>
          <w:rFonts w:asciiTheme="majorHAnsi" w:eastAsia="Times New Roman" w:hAnsiTheme="majorHAnsi" w:cs="Times New Roman"/>
          <w:sz w:val="14"/>
        </w:rPr>
      </w:pPr>
    </w:p>
    <w:p w14:paraId="0C1FA9DD" w14:textId="3661B7EE" w:rsidR="00F22362" w:rsidRPr="00F22362" w:rsidRDefault="00F22362" w:rsidP="0007783F">
      <w:pPr>
        <w:ind w:right="-1008"/>
        <w:rPr>
          <w:rFonts w:asciiTheme="majorHAnsi" w:eastAsia="Times New Roman" w:hAnsiTheme="majorHAnsi" w:cs="Times New Roman"/>
          <w:b/>
        </w:rPr>
      </w:pPr>
      <w:r w:rsidRPr="00F22362">
        <w:rPr>
          <w:rFonts w:asciiTheme="majorHAnsi" w:eastAsia="Times New Roman" w:hAnsiTheme="majorHAnsi" w:cs="Times New Roman"/>
          <w:b/>
        </w:rPr>
        <w:t>* Environmental Considerations</w:t>
      </w:r>
    </w:p>
    <w:p w14:paraId="707CAB64" w14:textId="6A3D827F" w:rsidR="00F22362" w:rsidRDefault="00F22362" w:rsidP="0007783F">
      <w:pPr>
        <w:ind w:right="-1008"/>
        <w:rPr>
          <w:rFonts w:asciiTheme="majorHAnsi" w:eastAsia="Times New Roman" w:hAnsiTheme="majorHAnsi" w:cs="Times New Roman"/>
        </w:rPr>
      </w:pPr>
      <w:r>
        <w:rPr>
          <w:rFonts w:asciiTheme="majorHAnsi" w:eastAsia="Times New Roman" w:hAnsiTheme="majorHAnsi" w:cs="Times New Roman"/>
        </w:rPr>
        <w:t>For example, what is the security, reliability and longevity of associated CO</w:t>
      </w:r>
      <w:r w:rsidRPr="00F22362">
        <w:rPr>
          <w:rFonts w:asciiTheme="majorHAnsi" w:eastAsia="Times New Roman" w:hAnsiTheme="majorHAnsi" w:cs="Times New Roman"/>
          <w:vertAlign w:val="subscript"/>
        </w:rPr>
        <w:t xml:space="preserve">2 </w:t>
      </w:r>
      <w:r>
        <w:rPr>
          <w:rFonts w:asciiTheme="majorHAnsi" w:eastAsia="Times New Roman" w:hAnsiTheme="majorHAnsi" w:cs="Times New Roman"/>
        </w:rPr>
        <w:t>storage or reductions?</w:t>
      </w:r>
    </w:p>
    <w:p w14:paraId="35C4436D" w14:textId="21E497AE" w:rsidR="00F22362" w:rsidRPr="00F22362" w:rsidRDefault="00F22362" w:rsidP="0007783F">
      <w:pPr>
        <w:ind w:right="-1008"/>
        <w:rPr>
          <w:rFonts w:asciiTheme="majorHAnsi" w:eastAsia="Times New Roman" w:hAnsiTheme="majorHAnsi" w:cs="Times New Roman"/>
          <w:b/>
        </w:rPr>
      </w:pPr>
      <w:r w:rsidRPr="00F22362">
        <w:rPr>
          <w:rFonts w:asciiTheme="majorHAnsi" w:eastAsia="Times New Roman" w:hAnsiTheme="majorHAnsi" w:cs="Times New Roman"/>
          <w:b/>
        </w:rPr>
        <w:t>* Technology/Product Status</w:t>
      </w:r>
    </w:p>
    <w:p w14:paraId="39312F17" w14:textId="66E71DC1" w:rsidR="00F22362" w:rsidRDefault="00F22362" w:rsidP="0007783F">
      <w:pPr>
        <w:ind w:right="-1008"/>
        <w:rPr>
          <w:rFonts w:asciiTheme="majorHAnsi" w:eastAsia="Times New Roman" w:hAnsiTheme="majorHAnsi" w:cs="Times New Roman"/>
        </w:rPr>
      </w:pPr>
      <w:r>
        <w:rPr>
          <w:rFonts w:asciiTheme="majorHAnsi" w:eastAsia="Times New Roman" w:hAnsiTheme="majorHAnsi" w:cs="Times New Roman"/>
        </w:rPr>
        <w:t xml:space="preserve">For example, </w:t>
      </w:r>
      <w:r w:rsidR="002D43CE">
        <w:rPr>
          <w:rFonts w:asciiTheme="majorHAnsi" w:eastAsia="Times New Roman" w:hAnsiTheme="majorHAnsi" w:cs="Times New Roman"/>
        </w:rPr>
        <w:t>is the technology at or near commercial status?</w:t>
      </w:r>
    </w:p>
    <w:p w14:paraId="604A6A80" w14:textId="599BA642" w:rsidR="00F22362" w:rsidRPr="002D43CE" w:rsidRDefault="00F22362" w:rsidP="0007783F">
      <w:pPr>
        <w:ind w:right="-1008"/>
        <w:rPr>
          <w:rFonts w:asciiTheme="majorHAnsi" w:eastAsia="Times New Roman" w:hAnsiTheme="majorHAnsi" w:cs="Times New Roman"/>
          <w:b/>
        </w:rPr>
      </w:pPr>
      <w:r w:rsidRPr="002D43CE">
        <w:rPr>
          <w:rFonts w:asciiTheme="majorHAnsi" w:eastAsia="Times New Roman" w:hAnsiTheme="majorHAnsi" w:cs="Times New Roman"/>
          <w:b/>
        </w:rPr>
        <w:t>* Market Considerations</w:t>
      </w:r>
    </w:p>
    <w:p w14:paraId="522710BE" w14:textId="025015C6" w:rsidR="00001114" w:rsidRDefault="002D43CE" w:rsidP="00737F07">
      <w:pPr>
        <w:ind w:right="-1008"/>
        <w:rPr>
          <w:rFonts w:asciiTheme="majorHAnsi" w:eastAsia="Times New Roman" w:hAnsiTheme="majorHAnsi" w:cs="Times New Roman"/>
        </w:rPr>
      </w:pPr>
      <w:r>
        <w:rPr>
          <w:rFonts w:asciiTheme="majorHAnsi" w:eastAsia="Times New Roman" w:hAnsiTheme="majorHAnsi" w:cs="Times New Roman"/>
        </w:rPr>
        <w:t>For example, is the potential market for CO</w:t>
      </w:r>
      <w:r w:rsidRPr="002D43CE">
        <w:rPr>
          <w:rFonts w:asciiTheme="majorHAnsi" w:eastAsia="Times New Roman" w:hAnsiTheme="majorHAnsi" w:cs="Times New Roman"/>
          <w:vertAlign w:val="subscript"/>
        </w:rPr>
        <w:t>2</w:t>
      </w:r>
      <w:r>
        <w:rPr>
          <w:rFonts w:asciiTheme="majorHAnsi" w:eastAsia="Times New Roman" w:hAnsiTheme="majorHAnsi" w:cs="Times New Roman"/>
        </w:rPr>
        <w:t xml:space="preserve"> on a scale commensurate with coal-based power plants or other alternative uses of coal?</w:t>
      </w:r>
    </w:p>
    <w:p w14:paraId="1CE9ACFB" w14:textId="77777777" w:rsidR="002D43CE" w:rsidRPr="002D43CE" w:rsidRDefault="002D43CE" w:rsidP="00001114">
      <w:pPr>
        <w:ind w:right="-1008"/>
        <w:jc w:val="center"/>
        <w:rPr>
          <w:rFonts w:asciiTheme="majorHAnsi" w:eastAsia="Times New Roman" w:hAnsiTheme="majorHAnsi" w:cs="Times New Roman"/>
          <w:b/>
          <w:sz w:val="4"/>
        </w:rPr>
      </w:pPr>
    </w:p>
    <w:p w14:paraId="61EC948F" w14:textId="5BD949CE" w:rsidR="00001114" w:rsidRDefault="003D2FA7" w:rsidP="00001114">
      <w:pPr>
        <w:ind w:right="-1008"/>
        <w:jc w:val="center"/>
        <w:rPr>
          <w:rFonts w:asciiTheme="majorHAnsi" w:eastAsia="Times New Roman" w:hAnsiTheme="majorHAnsi" w:cs="Times New Roman"/>
          <w:b/>
        </w:rPr>
      </w:pPr>
      <w:r w:rsidRPr="003D2FA7">
        <w:rPr>
          <w:rFonts w:asciiTheme="majorHAnsi" w:eastAsia="Times New Roman" w:hAnsiTheme="majorHAnsi" w:cs="Times New Roman"/>
          <w:b/>
        </w:rPr>
        <w:t>National Coal Council</w:t>
      </w:r>
    </w:p>
    <w:p w14:paraId="07A8F816" w14:textId="77777777" w:rsidR="002D43CE" w:rsidRDefault="00BF41B5" w:rsidP="00001114">
      <w:pPr>
        <w:ind w:right="-1008"/>
        <w:jc w:val="center"/>
        <w:rPr>
          <w:rFonts w:asciiTheme="majorHAnsi" w:eastAsia="Times New Roman" w:hAnsiTheme="majorHAnsi" w:cs="Times New Roman"/>
          <w:b/>
        </w:rPr>
      </w:pPr>
      <w:hyperlink r:id="rId15" w:history="1">
        <w:r w:rsidR="003D2FA7" w:rsidRPr="003B7D59">
          <w:rPr>
            <w:rStyle w:val="Hyperlink"/>
            <w:rFonts w:asciiTheme="majorHAnsi" w:eastAsia="Times New Roman" w:hAnsiTheme="majorHAnsi" w:cs="Times New Roman"/>
            <w:b/>
          </w:rPr>
          <w:t>www.NationalCoalCouncil.org</w:t>
        </w:r>
      </w:hyperlink>
      <w:r w:rsidR="002D43CE">
        <w:rPr>
          <w:rFonts w:asciiTheme="majorHAnsi" w:eastAsia="Times New Roman" w:hAnsiTheme="majorHAnsi" w:cs="Times New Roman"/>
          <w:b/>
        </w:rPr>
        <w:t xml:space="preserve"> </w:t>
      </w:r>
    </w:p>
    <w:p w14:paraId="5981B057" w14:textId="0D273FB2" w:rsidR="003D2FA7" w:rsidRPr="003D2FA7" w:rsidRDefault="002D43CE" w:rsidP="00001114">
      <w:pPr>
        <w:ind w:right="-1008"/>
        <w:jc w:val="center"/>
        <w:rPr>
          <w:rFonts w:asciiTheme="majorHAnsi" w:eastAsia="Times New Roman" w:hAnsiTheme="majorHAnsi" w:cs="Times New Roman"/>
          <w:b/>
        </w:rPr>
      </w:pPr>
      <w:r>
        <w:rPr>
          <w:rFonts w:asciiTheme="majorHAnsi" w:eastAsia="Times New Roman" w:hAnsiTheme="majorHAnsi" w:cs="Times New Roman"/>
          <w:b/>
        </w:rPr>
        <w:t>2</w:t>
      </w:r>
      <w:r w:rsidR="003D2FA7">
        <w:rPr>
          <w:rFonts w:asciiTheme="majorHAnsi" w:eastAsia="Times New Roman" w:hAnsiTheme="majorHAnsi" w:cs="Times New Roman"/>
          <w:b/>
        </w:rPr>
        <w:t xml:space="preserve">02-756-4524 ~ </w:t>
      </w:r>
      <w:hyperlink r:id="rId16" w:history="1">
        <w:r w:rsidR="003D2FA7" w:rsidRPr="003B7D59">
          <w:rPr>
            <w:rStyle w:val="Hyperlink"/>
            <w:rFonts w:asciiTheme="majorHAnsi" w:eastAsia="Times New Roman" w:hAnsiTheme="majorHAnsi" w:cs="Times New Roman"/>
            <w:b/>
          </w:rPr>
          <w:t>info@NCC1.org</w:t>
        </w:r>
      </w:hyperlink>
      <w:r w:rsidR="003D2FA7">
        <w:rPr>
          <w:rFonts w:asciiTheme="majorHAnsi" w:eastAsia="Times New Roman" w:hAnsiTheme="majorHAnsi" w:cs="Times New Roman"/>
          <w:b/>
        </w:rPr>
        <w:t xml:space="preserve"> </w:t>
      </w:r>
    </w:p>
    <w:sectPr w:rsidR="003D2FA7" w:rsidRPr="003D2FA7" w:rsidSect="00A10FFE">
      <w:headerReference w:type="default" r:id="rId17"/>
      <w:footerReference w:type="default" r:id="rId18"/>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50DA60" w14:textId="77777777" w:rsidR="00BF41B5" w:rsidRDefault="00BF41B5" w:rsidP="0029259F">
      <w:r>
        <w:separator/>
      </w:r>
    </w:p>
  </w:endnote>
  <w:endnote w:type="continuationSeparator" w:id="0">
    <w:p w14:paraId="7CCD3D67" w14:textId="77777777" w:rsidR="00BF41B5" w:rsidRDefault="00BF41B5" w:rsidP="00292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2B247" w14:textId="77777777" w:rsidR="00FE3DF4" w:rsidRDefault="00FE3D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4B9ADC" w14:textId="77777777" w:rsidR="00BF41B5" w:rsidRDefault="00BF41B5" w:rsidP="0029259F">
      <w:r>
        <w:separator/>
      </w:r>
    </w:p>
  </w:footnote>
  <w:footnote w:type="continuationSeparator" w:id="0">
    <w:p w14:paraId="666C01C1" w14:textId="77777777" w:rsidR="00BF41B5" w:rsidRDefault="00BF41B5" w:rsidP="002925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0FB6B" w14:textId="21D3D290" w:rsidR="00FE3DF4" w:rsidRDefault="00FE3DF4">
    <w:pPr>
      <w:pStyle w:val="Header"/>
    </w:pPr>
    <w:r>
      <w:rPr>
        <w:noProof/>
      </w:rPr>
      <w:drawing>
        <wp:anchor distT="0" distB="0" distL="114300" distR="114300" simplePos="0" relativeHeight="251657216" behindDoc="0" locked="0" layoutInCell="1" allowOverlap="1" wp14:anchorId="210CD0CE" wp14:editId="64B88A42">
          <wp:simplePos x="0" y="0"/>
          <wp:positionH relativeFrom="margin">
            <wp:posOffset>-1121410</wp:posOffset>
          </wp:positionH>
          <wp:positionV relativeFrom="margin">
            <wp:posOffset>-784860</wp:posOffset>
          </wp:positionV>
          <wp:extent cx="8134985" cy="172466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s for report-01-01-01.jpg"/>
                  <pic:cNvPicPr/>
                </pic:nvPicPr>
                <pic:blipFill>
                  <a:blip r:embed="rId1">
                    <a:extLst>
                      <a:ext uri="{28A0092B-C50C-407E-A947-70E740481C1C}">
                        <a14:useLocalDpi xmlns:a14="http://schemas.microsoft.com/office/drawing/2010/main" val="0"/>
                      </a:ext>
                    </a:extLst>
                  </a:blip>
                  <a:stretch>
                    <a:fillRect/>
                  </a:stretch>
                </pic:blipFill>
                <pic:spPr>
                  <a:xfrm>
                    <a:off x="0" y="0"/>
                    <a:ext cx="8134985" cy="17246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3249B" w14:textId="1ED3A574" w:rsidR="00FE3DF4" w:rsidRDefault="00FE3DF4">
    <w:pPr>
      <w:pStyle w:val="Header"/>
    </w:pPr>
    <w:r>
      <w:rPr>
        <w:noProof/>
      </w:rPr>
      <w:drawing>
        <wp:anchor distT="0" distB="0" distL="114300" distR="114300" simplePos="0" relativeHeight="251662336" behindDoc="0" locked="0" layoutInCell="1" allowOverlap="1" wp14:anchorId="1B264949" wp14:editId="37AB5591">
          <wp:simplePos x="0" y="0"/>
          <wp:positionH relativeFrom="margin">
            <wp:posOffset>-1275080</wp:posOffset>
          </wp:positionH>
          <wp:positionV relativeFrom="margin">
            <wp:posOffset>-995045</wp:posOffset>
          </wp:positionV>
          <wp:extent cx="2028825" cy="10126980"/>
          <wp:effectExtent l="0" t="0" r="3175"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s for report vert-01-01.jpg"/>
                  <pic:cNvPicPr/>
                </pic:nvPicPr>
                <pic:blipFill>
                  <a:blip r:embed="rId1">
                    <a:extLst>
                      <a:ext uri="{28A0092B-C50C-407E-A947-70E740481C1C}">
                        <a14:useLocalDpi xmlns:a14="http://schemas.microsoft.com/office/drawing/2010/main" val="0"/>
                      </a:ext>
                    </a:extLst>
                  </a:blip>
                  <a:stretch>
                    <a:fillRect/>
                  </a:stretch>
                </pic:blipFill>
                <pic:spPr>
                  <a:xfrm>
                    <a:off x="0" y="0"/>
                    <a:ext cx="2028825" cy="10126980"/>
                  </a:xfrm>
                  <a:prstGeom prst="rect">
                    <a:avLst/>
                  </a:prstGeom>
                </pic:spPr>
              </pic:pic>
            </a:graphicData>
          </a:graphic>
          <wp14:sizeRelH relativeFrom="margin">
            <wp14:pctWidth>0</wp14:pctWidth>
          </wp14:sizeRelH>
          <wp14:sizeRelV relativeFrom="margin">
            <wp14:pctHeight>0</wp14:pctHeight>
          </wp14:sizeRelV>
        </wp:anchor>
      </w:drawing>
    </w:r>
    <w:r w:rsidR="000B1D6E">
      <w:rPr>
        <w:noProof/>
      </w:rPr>
      <w:t>thdk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50256"/>
    <w:multiLevelType w:val="hybridMultilevel"/>
    <w:tmpl w:val="8D928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BB54B4"/>
    <w:multiLevelType w:val="hybridMultilevel"/>
    <w:tmpl w:val="1FD47F60"/>
    <w:lvl w:ilvl="0" w:tplc="45F2B780">
      <w:numFmt w:val="bullet"/>
      <w:lvlText w:val="-"/>
      <w:lvlJc w:val="left"/>
      <w:pPr>
        <w:ind w:left="1134" w:hanging="360"/>
      </w:pPr>
      <w:rPr>
        <w:rFonts w:ascii="Calibri" w:eastAsia="Times New Roman" w:hAnsi="Calibri" w:cs="Times New Roman"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2" w15:restartNumberingAfterBreak="0">
    <w:nsid w:val="295E4808"/>
    <w:multiLevelType w:val="hybridMultilevel"/>
    <w:tmpl w:val="530EA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58A3E8C"/>
    <w:multiLevelType w:val="hybridMultilevel"/>
    <w:tmpl w:val="911439A6"/>
    <w:lvl w:ilvl="0" w:tplc="E0B8A0E6">
      <w:start w:val="1"/>
      <w:numFmt w:val="bullet"/>
      <w:lvlText w:val=""/>
      <w:lvlJc w:val="left"/>
      <w:pPr>
        <w:tabs>
          <w:tab w:val="num" w:pos="720"/>
        </w:tabs>
        <w:ind w:left="720" w:hanging="360"/>
      </w:pPr>
      <w:rPr>
        <w:rFonts w:ascii="Symbol" w:hAnsi="Symbol" w:hint="default"/>
      </w:rPr>
    </w:lvl>
    <w:lvl w:ilvl="1" w:tplc="2F6803DE" w:tentative="1">
      <w:start w:val="1"/>
      <w:numFmt w:val="bullet"/>
      <w:lvlText w:val=""/>
      <w:lvlJc w:val="left"/>
      <w:pPr>
        <w:tabs>
          <w:tab w:val="num" w:pos="1440"/>
        </w:tabs>
        <w:ind w:left="1440" w:hanging="360"/>
      </w:pPr>
      <w:rPr>
        <w:rFonts w:ascii="Symbol" w:hAnsi="Symbol" w:hint="default"/>
      </w:rPr>
    </w:lvl>
    <w:lvl w:ilvl="2" w:tplc="C1E26E0E" w:tentative="1">
      <w:start w:val="1"/>
      <w:numFmt w:val="bullet"/>
      <w:lvlText w:val=""/>
      <w:lvlJc w:val="left"/>
      <w:pPr>
        <w:tabs>
          <w:tab w:val="num" w:pos="2160"/>
        </w:tabs>
        <w:ind w:left="2160" w:hanging="360"/>
      </w:pPr>
      <w:rPr>
        <w:rFonts w:ascii="Symbol" w:hAnsi="Symbol" w:hint="default"/>
      </w:rPr>
    </w:lvl>
    <w:lvl w:ilvl="3" w:tplc="760AC986" w:tentative="1">
      <w:start w:val="1"/>
      <w:numFmt w:val="bullet"/>
      <w:lvlText w:val=""/>
      <w:lvlJc w:val="left"/>
      <w:pPr>
        <w:tabs>
          <w:tab w:val="num" w:pos="2880"/>
        </w:tabs>
        <w:ind w:left="2880" w:hanging="360"/>
      </w:pPr>
      <w:rPr>
        <w:rFonts w:ascii="Symbol" w:hAnsi="Symbol" w:hint="default"/>
      </w:rPr>
    </w:lvl>
    <w:lvl w:ilvl="4" w:tplc="B992BF9C" w:tentative="1">
      <w:start w:val="1"/>
      <w:numFmt w:val="bullet"/>
      <w:lvlText w:val=""/>
      <w:lvlJc w:val="left"/>
      <w:pPr>
        <w:tabs>
          <w:tab w:val="num" w:pos="3600"/>
        </w:tabs>
        <w:ind w:left="3600" w:hanging="360"/>
      </w:pPr>
      <w:rPr>
        <w:rFonts w:ascii="Symbol" w:hAnsi="Symbol" w:hint="default"/>
      </w:rPr>
    </w:lvl>
    <w:lvl w:ilvl="5" w:tplc="7B3E7B8A" w:tentative="1">
      <w:start w:val="1"/>
      <w:numFmt w:val="bullet"/>
      <w:lvlText w:val=""/>
      <w:lvlJc w:val="left"/>
      <w:pPr>
        <w:tabs>
          <w:tab w:val="num" w:pos="4320"/>
        </w:tabs>
        <w:ind w:left="4320" w:hanging="360"/>
      </w:pPr>
      <w:rPr>
        <w:rFonts w:ascii="Symbol" w:hAnsi="Symbol" w:hint="default"/>
      </w:rPr>
    </w:lvl>
    <w:lvl w:ilvl="6" w:tplc="D35853F8" w:tentative="1">
      <w:start w:val="1"/>
      <w:numFmt w:val="bullet"/>
      <w:lvlText w:val=""/>
      <w:lvlJc w:val="left"/>
      <w:pPr>
        <w:tabs>
          <w:tab w:val="num" w:pos="5040"/>
        </w:tabs>
        <w:ind w:left="5040" w:hanging="360"/>
      </w:pPr>
      <w:rPr>
        <w:rFonts w:ascii="Symbol" w:hAnsi="Symbol" w:hint="default"/>
      </w:rPr>
    </w:lvl>
    <w:lvl w:ilvl="7" w:tplc="A3FCA824" w:tentative="1">
      <w:start w:val="1"/>
      <w:numFmt w:val="bullet"/>
      <w:lvlText w:val=""/>
      <w:lvlJc w:val="left"/>
      <w:pPr>
        <w:tabs>
          <w:tab w:val="num" w:pos="5760"/>
        </w:tabs>
        <w:ind w:left="5760" w:hanging="360"/>
      </w:pPr>
      <w:rPr>
        <w:rFonts w:ascii="Symbol" w:hAnsi="Symbol" w:hint="default"/>
      </w:rPr>
    </w:lvl>
    <w:lvl w:ilvl="8" w:tplc="039E01C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5BC07DB"/>
    <w:multiLevelType w:val="hybridMultilevel"/>
    <w:tmpl w:val="0D781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9BF0737"/>
    <w:multiLevelType w:val="hybridMultilevel"/>
    <w:tmpl w:val="CD0CCD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BFF28F4"/>
    <w:multiLevelType w:val="hybridMultilevel"/>
    <w:tmpl w:val="A4D2AF6C"/>
    <w:lvl w:ilvl="0" w:tplc="5316CC0C">
      <w:start w:val="1"/>
      <w:numFmt w:val="bullet"/>
      <w:lvlText w:val=""/>
      <w:lvlJc w:val="left"/>
      <w:pPr>
        <w:tabs>
          <w:tab w:val="num" w:pos="720"/>
        </w:tabs>
        <w:ind w:left="720" w:hanging="360"/>
      </w:pPr>
      <w:rPr>
        <w:rFonts w:ascii="Symbol" w:hAnsi="Symbol" w:hint="default"/>
      </w:rPr>
    </w:lvl>
    <w:lvl w:ilvl="1" w:tplc="9E2EE198" w:tentative="1">
      <w:start w:val="1"/>
      <w:numFmt w:val="bullet"/>
      <w:lvlText w:val=""/>
      <w:lvlJc w:val="left"/>
      <w:pPr>
        <w:tabs>
          <w:tab w:val="num" w:pos="1440"/>
        </w:tabs>
        <w:ind w:left="1440" w:hanging="360"/>
      </w:pPr>
      <w:rPr>
        <w:rFonts w:ascii="Symbol" w:hAnsi="Symbol" w:hint="default"/>
      </w:rPr>
    </w:lvl>
    <w:lvl w:ilvl="2" w:tplc="3628FE84" w:tentative="1">
      <w:start w:val="1"/>
      <w:numFmt w:val="bullet"/>
      <w:lvlText w:val=""/>
      <w:lvlJc w:val="left"/>
      <w:pPr>
        <w:tabs>
          <w:tab w:val="num" w:pos="2160"/>
        </w:tabs>
        <w:ind w:left="2160" w:hanging="360"/>
      </w:pPr>
      <w:rPr>
        <w:rFonts w:ascii="Symbol" w:hAnsi="Symbol" w:hint="default"/>
      </w:rPr>
    </w:lvl>
    <w:lvl w:ilvl="3" w:tplc="AD787066" w:tentative="1">
      <w:start w:val="1"/>
      <w:numFmt w:val="bullet"/>
      <w:lvlText w:val=""/>
      <w:lvlJc w:val="left"/>
      <w:pPr>
        <w:tabs>
          <w:tab w:val="num" w:pos="2880"/>
        </w:tabs>
        <w:ind w:left="2880" w:hanging="360"/>
      </w:pPr>
      <w:rPr>
        <w:rFonts w:ascii="Symbol" w:hAnsi="Symbol" w:hint="default"/>
      </w:rPr>
    </w:lvl>
    <w:lvl w:ilvl="4" w:tplc="833641EC" w:tentative="1">
      <w:start w:val="1"/>
      <w:numFmt w:val="bullet"/>
      <w:lvlText w:val=""/>
      <w:lvlJc w:val="left"/>
      <w:pPr>
        <w:tabs>
          <w:tab w:val="num" w:pos="3600"/>
        </w:tabs>
        <w:ind w:left="3600" w:hanging="360"/>
      </w:pPr>
      <w:rPr>
        <w:rFonts w:ascii="Symbol" w:hAnsi="Symbol" w:hint="default"/>
      </w:rPr>
    </w:lvl>
    <w:lvl w:ilvl="5" w:tplc="63482596" w:tentative="1">
      <w:start w:val="1"/>
      <w:numFmt w:val="bullet"/>
      <w:lvlText w:val=""/>
      <w:lvlJc w:val="left"/>
      <w:pPr>
        <w:tabs>
          <w:tab w:val="num" w:pos="4320"/>
        </w:tabs>
        <w:ind w:left="4320" w:hanging="360"/>
      </w:pPr>
      <w:rPr>
        <w:rFonts w:ascii="Symbol" w:hAnsi="Symbol" w:hint="default"/>
      </w:rPr>
    </w:lvl>
    <w:lvl w:ilvl="6" w:tplc="56D24D4C" w:tentative="1">
      <w:start w:val="1"/>
      <w:numFmt w:val="bullet"/>
      <w:lvlText w:val=""/>
      <w:lvlJc w:val="left"/>
      <w:pPr>
        <w:tabs>
          <w:tab w:val="num" w:pos="5040"/>
        </w:tabs>
        <w:ind w:left="5040" w:hanging="360"/>
      </w:pPr>
      <w:rPr>
        <w:rFonts w:ascii="Symbol" w:hAnsi="Symbol" w:hint="default"/>
      </w:rPr>
    </w:lvl>
    <w:lvl w:ilvl="7" w:tplc="D40C84D2" w:tentative="1">
      <w:start w:val="1"/>
      <w:numFmt w:val="bullet"/>
      <w:lvlText w:val=""/>
      <w:lvlJc w:val="left"/>
      <w:pPr>
        <w:tabs>
          <w:tab w:val="num" w:pos="5760"/>
        </w:tabs>
        <w:ind w:left="5760" w:hanging="360"/>
      </w:pPr>
      <w:rPr>
        <w:rFonts w:ascii="Symbol" w:hAnsi="Symbol" w:hint="default"/>
      </w:rPr>
    </w:lvl>
    <w:lvl w:ilvl="8" w:tplc="D3FADA18"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0"/>
  </w:num>
  <w:num w:numId="3">
    <w:abstractNumId w:val="2"/>
  </w:num>
  <w:num w:numId="4">
    <w:abstractNumId w:val="5"/>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E04"/>
    <w:rsid w:val="00001114"/>
    <w:rsid w:val="00010B1A"/>
    <w:rsid w:val="000177A0"/>
    <w:rsid w:val="0007031D"/>
    <w:rsid w:val="000725E8"/>
    <w:rsid w:val="00074E47"/>
    <w:rsid w:val="0007783F"/>
    <w:rsid w:val="000A4372"/>
    <w:rsid w:val="000B1D6E"/>
    <w:rsid w:val="000B2B19"/>
    <w:rsid w:val="000E2F97"/>
    <w:rsid w:val="000F1CC2"/>
    <w:rsid w:val="00160408"/>
    <w:rsid w:val="001827F2"/>
    <w:rsid w:val="001A16FD"/>
    <w:rsid w:val="00234065"/>
    <w:rsid w:val="002362BA"/>
    <w:rsid w:val="0025033E"/>
    <w:rsid w:val="0029259F"/>
    <w:rsid w:val="002C5AB6"/>
    <w:rsid w:val="002D43CE"/>
    <w:rsid w:val="002F07A5"/>
    <w:rsid w:val="00397DD4"/>
    <w:rsid w:val="003D2FA7"/>
    <w:rsid w:val="00410B49"/>
    <w:rsid w:val="004133E5"/>
    <w:rsid w:val="0044047E"/>
    <w:rsid w:val="004505CF"/>
    <w:rsid w:val="00474775"/>
    <w:rsid w:val="00494DC5"/>
    <w:rsid w:val="0050600F"/>
    <w:rsid w:val="00544CB0"/>
    <w:rsid w:val="00546F76"/>
    <w:rsid w:val="0057461C"/>
    <w:rsid w:val="005C0F42"/>
    <w:rsid w:val="005C6B5D"/>
    <w:rsid w:val="005E327E"/>
    <w:rsid w:val="00646195"/>
    <w:rsid w:val="00674EF0"/>
    <w:rsid w:val="00683E11"/>
    <w:rsid w:val="006B1C36"/>
    <w:rsid w:val="006C5B49"/>
    <w:rsid w:val="006D5474"/>
    <w:rsid w:val="007129D2"/>
    <w:rsid w:val="00737F07"/>
    <w:rsid w:val="00740E59"/>
    <w:rsid w:val="00754FE5"/>
    <w:rsid w:val="007A76EA"/>
    <w:rsid w:val="007B1936"/>
    <w:rsid w:val="007B50B6"/>
    <w:rsid w:val="007D5786"/>
    <w:rsid w:val="007F2F3B"/>
    <w:rsid w:val="0085177E"/>
    <w:rsid w:val="008651AA"/>
    <w:rsid w:val="008768DF"/>
    <w:rsid w:val="008C7E04"/>
    <w:rsid w:val="00946746"/>
    <w:rsid w:val="009707EA"/>
    <w:rsid w:val="009737F3"/>
    <w:rsid w:val="00980111"/>
    <w:rsid w:val="00983CC7"/>
    <w:rsid w:val="009E021D"/>
    <w:rsid w:val="009F4FC6"/>
    <w:rsid w:val="00A10FFE"/>
    <w:rsid w:val="00A21DD6"/>
    <w:rsid w:val="00A54669"/>
    <w:rsid w:val="00A61534"/>
    <w:rsid w:val="00B07C72"/>
    <w:rsid w:val="00B10289"/>
    <w:rsid w:val="00B22A71"/>
    <w:rsid w:val="00B22E41"/>
    <w:rsid w:val="00B34777"/>
    <w:rsid w:val="00B40447"/>
    <w:rsid w:val="00B45B60"/>
    <w:rsid w:val="00B80FA1"/>
    <w:rsid w:val="00B91A3E"/>
    <w:rsid w:val="00BC4D7B"/>
    <w:rsid w:val="00BE6349"/>
    <w:rsid w:val="00BE6E35"/>
    <w:rsid w:val="00BF2B64"/>
    <w:rsid w:val="00BF41B5"/>
    <w:rsid w:val="00C03099"/>
    <w:rsid w:val="00C04C72"/>
    <w:rsid w:val="00C24EA5"/>
    <w:rsid w:val="00C43C80"/>
    <w:rsid w:val="00C83A5B"/>
    <w:rsid w:val="00CA0B74"/>
    <w:rsid w:val="00CC0CA2"/>
    <w:rsid w:val="00CC45FB"/>
    <w:rsid w:val="00CE5F4C"/>
    <w:rsid w:val="00CF38E0"/>
    <w:rsid w:val="00CF5651"/>
    <w:rsid w:val="00D15E17"/>
    <w:rsid w:val="00D46608"/>
    <w:rsid w:val="00D5224B"/>
    <w:rsid w:val="00D523CE"/>
    <w:rsid w:val="00D563DA"/>
    <w:rsid w:val="00DD4ED4"/>
    <w:rsid w:val="00ED7A02"/>
    <w:rsid w:val="00F11A2B"/>
    <w:rsid w:val="00F22362"/>
    <w:rsid w:val="00F4783D"/>
    <w:rsid w:val="00FA68C1"/>
    <w:rsid w:val="00FE3D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6A1D22"/>
  <w14:defaultImageDpi w14:val="300"/>
  <w15:docId w15:val="{F4BCF7F2-B14B-49D9-B6FB-6930CAD28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7E04"/>
    <w:rPr>
      <w:rFonts w:ascii="Lucida Grande" w:hAnsi="Lucida Grande"/>
      <w:sz w:val="18"/>
      <w:szCs w:val="18"/>
    </w:rPr>
  </w:style>
  <w:style w:type="character" w:customStyle="1" w:styleId="BalloonTextChar">
    <w:name w:val="Balloon Text Char"/>
    <w:basedOn w:val="DefaultParagraphFont"/>
    <w:link w:val="BalloonText"/>
    <w:uiPriority w:val="99"/>
    <w:semiHidden/>
    <w:rsid w:val="008C7E04"/>
    <w:rPr>
      <w:rFonts w:ascii="Lucida Grande" w:hAnsi="Lucida Grande"/>
      <w:sz w:val="18"/>
      <w:szCs w:val="18"/>
    </w:rPr>
  </w:style>
  <w:style w:type="paragraph" w:styleId="NormalWeb">
    <w:name w:val="Normal (Web)"/>
    <w:basedOn w:val="Normal"/>
    <w:uiPriority w:val="99"/>
    <w:unhideWhenUsed/>
    <w:rsid w:val="0029259F"/>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29259F"/>
    <w:pPr>
      <w:tabs>
        <w:tab w:val="center" w:pos="4320"/>
        <w:tab w:val="right" w:pos="8640"/>
      </w:tabs>
    </w:pPr>
  </w:style>
  <w:style w:type="character" w:customStyle="1" w:styleId="HeaderChar">
    <w:name w:val="Header Char"/>
    <w:basedOn w:val="DefaultParagraphFont"/>
    <w:link w:val="Header"/>
    <w:uiPriority w:val="99"/>
    <w:rsid w:val="0029259F"/>
  </w:style>
  <w:style w:type="paragraph" w:styleId="Footer">
    <w:name w:val="footer"/>
    <w:basedOn w:val="Normal"/>
    <w:link w:val="FooterChar"/>
    <w:uiPriority w:val="99"/>
    <w:unhideWhenUsed/>
    <w:rsid w:val="0029259F"/>
    <w:pPr>
      <w:tabs>
        <w:tab w:val="center" w:pos="4320"/>
        <w:tab w:val="right" w:pos="8640"/>
      </w:tabs>
    </w:pPr>
  </w:style>
  <w:style w:type="character" w:customStyle="1" w:styleId="FooterChar">
    <w:name w:val="Footer Char"/>
    <w:basedOn w:val="DefaultParagraphFont"/>
    <w:link w:val="Footer"/>
    <w:uiPriority w:val="99"/>
    <w:rsid w:val="0029259F"/>
  </w:style>
  <w:style w:type="paragraph" w:styleId="ListParagraph">
    <w:name w:val="List Paragraph"/>
    <w:basedOn w:val="Normal"/>
    <w:uiPriority w:val="34"/>
    <w:qFormat/>
    <w:rsid w:val="00B10289"/>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B10289"/>
    <w:rPr>
      <w:color w:val="0000FF" w:themeColor="hyperlink"/>
      <w:u w:val="single"/>
    </w:rPr>
  </w:style>
  <w:style w:type="paragraph" w:customStyle="1" w:styleId="FigureTableSource">
    <w:name w:val="Figure_Table Source"/>
    <w:basedOn w:val="Normal"/>
    <w:qFormat/>
    <w:rsid w:val="00A61534"/>
    <w:rPr>
      <w:rFonts w:ascii="Arial Narrow" w:eastAsia="Calibri" w:hAnsi="Arial Narrow" w:cs="Times New Roman"/>
      <w:sz w:val="20"/>
    </w:rPr>
  </w:style>
  <w:style w:type="paragraph" w:styleId="NoSpacing">
    <w:name w:val="No Spacing"/>
    <w:link w:val="NoSpacingChar"/>
    <w:uiPriority w:val="1"/>
    <w:qFormat/>
    <w:rsid w:val="0007783F"/>
    <w:rPr>
      <w:sz w:val="22"/>
      <w:szCs w:val="22"/>
    </w:rPr>
  </w:style>
  <w:style w:type="character" w:customStyle="1" w:styleId="NoSpacingChar">
    <w:name w:val="No Spacing Char"/>
    <w:basedOn w:val="DefaultParagraphFont"/>
    <w:link w:val="NoSpacing"/>
    <w:uiPriority w:val="1"/>
    <w:rsid w:val="0007783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295754">
      <w:bodyDiv w:val="1"/>
      <w:marLeft w:val="0"/>
      <w:marRight w:val="0"/>
      <w:marTop w:val="0"/>
      <w:marBottom w:val="0"/>
      <w:divBdr>
        <w:top w:val="none" w:sz="0" w:space="0" w:color="auto"/>
        <w:left w:val="none" w:sz="0" w:space="0" w:color="auto"/>
        <w:bottom w:val="none" w:sz="0" w:space="0" w:color="auto"/>
        <w:right w:val="none" w:sz="0" w:space="0" w:color="auto"/>
      </w:divBdr>
    </w:div>
    <w:div w:id="365758138">
      <w:bodyDiv w:val="1"/>
      <w:marLeft w:val="0"/>
      <w:marRight w:val="0"/>
      <w:marTop w:val="0"/>
      <w:marBottom w:val="0"/>
      <w:divBdr>
        <w:top w:val="none" w:sz="0" w:space="0" w:color="auto"/>
        <w:left w:val="none" w:sz="0" w:space="0" w:color="auto"/>
        <w:bottom w:val="none" w:sz="0" w:space="0" w:color="auto"/>
        <w:right w:val="none" w:sz="0" w:space="0" w:color="auto"/>
      </w:divBdr>
    </w:div>
    <w:div w:id="631399322">
      <w:bodyDiv w:val="1"/>
      <w:marLeft w:val="0"/>
      <w:marRight w:val="0"/>
      <w:marTop w:val="0"/>
      <w:marBottom w:val="0"/>
      <w:divBdr>
        <w:top w:val="none" w:sz="0" w:space="0" w:color="auto"/>
        <w:left w:val="none" w:sz="0" w:space="0" w:color="auto"/>
        <w:bottom w:val="none" w:sz="0" w:space="0" w:color="auto"/>
        <w:right w:val="none" w:sz="0" w:space="0" w:color="auto"/>
      </w:divBdr>
      <w:divsChild>
        <w:div w:id="886722910">
          <w:marLeft w:val="547"/>
          <w:marRight w:val="0"/>
          <w:marTop w:val="0"/>
          <w:marBottom w:val="0"/>
          <w:divBdr>
            <w:top w:val="none" w:sz="0" w:space="0" w:color="auto"/>
            <w:left w:val="none" w:sz="0" w:space="0" w:color="auto"/>
            <w:bottom w:val="none" w:sz="0" w:space="0" w:color="auto"/>
            <w:right w:val="none" w:sz="0" w:space="0" w:color="auto"/>
          </w:divBdr>
        </w:div>
      </w:divsChild>
    </w:div>
    <w:div w:id="1005060407">
      <w:bodyDiv w:val="1"/>
      <w:marLeft w:val="0"/>
      <w:marRight w:val="0"/>
      <w:marTop w:val="0"/>
      <w:marBottom w:val="0"/>
      <w:divBdr>
        <w:top w:val="none" w:sz="0" w:space="0" w:color="auto"/>
        <w:left w:val="none" w:sz="0" w:space="0" w:color="auto"/>
        <w:bottom w:val="none" w:sz="0" w:space="0" w:color="auto"/>
        <w:right w:val="none" w:sz="0" w:space="0" w:color="auto"/>
      </w:divBdr>
    </w:div>
    <w:div w:id="1148933118">
      <w:bodyDiv w:val="1"/>
      <w:marLeft w:val="0"/>
      <w:marRight w:val="0"/>
      <w:marTop w:val="0"/>
      <w:marBottom w:val="0"/>
      <w:divBdr>
        <w:top w:val="none" w:sz="0" w:space="0" w:color="auto"/>
        <w:left w:val="none" w:sz="0" w:space="0" w:color="auto"/>
        <w:bottom w:val="none" w:sz="0" w:space="0" w:color="auto"/>
        <w:right w:val="none" w:sz="0" w:space="0" w:color="auto"/>
      </w:divBdr>
    </w:div>
    <w:div w:id="1530217208">
      <w:bodyDiv w:val="1"/>
      <w:marLeft w:val="0"/>
      <w:marRight w:val="0"/>
      <w:marTop w:val="0"/>
      <w:marBottom w:val="0"/>
      <w:divBdr>
        <w:top w:val="none" w:sz="0" w:space="0" w:color="auto"/>
        <w:left w:val="none" w:sz="0" w:space="0" w:color="auto"/>
        <w:bottom w:val="none" w:sz="0" w:space="0" w:color="auto"/>
        <w:right w:val="none" w:sz="0" w:space="0" w:color="auto"/>
      </w:divBdr>
      <w:divsChild>
        <w:div w:id="1383552302">
          <w:marLeft w:val="547"/>
          <w:marRight w:val="0"/>
          <w:marTop w:val="0"/>
          <w:marBottom w:val="0"/>
          <w:divBdr>
            <w:top w:val="none" w:sz="0" w:space="0" w:color="auto"/>
            <w:left w:val="none" w:sz="0" w:space="0" w:color="auto"/>
            <w:bottom w:val="none" w:sz="0" w:space="0" w:color="auto"/>
            <w:right w:val="none" w:sz="0" w:space="0" w:color="auto"/>
          </w:divBdr>
        </w:div>
      </w:divsChild>
    </w:div>
    <w:div w:id="1597664422">
      <w:bodyDiv w:val="1"/>
      <w:marLeft w:val="0"/>
      <w:marRight w:val="0"/>
      <w:marTop w:val="0"/>
      <w:marBottom w:val="0"/>
      <w:divBdr>
        <w:top w:val="none" w:sz="0" w:space="0" w:color="auto"/>
        <w:left w:val="none" w:sz="0" w:space="0" w:color="auto"/>
        <w:bottom w:val="none" w:sz="0" w:space="0" w:color="auto"/>
        <w:right w:val="none" w:sz="0" w:space="0" w:color="auto"/>
      </w:divBdr>
    </w:div>
    <w:div w:id="1599097415">
      <w:bodyDiv w:val="1"/>
      <w:marLeft w:val="0"/>
      <w:marRight w:val="0"/>
      <w:marTop w:val="0"/>
      <w:marBottom w:val="0"/>
      <w:divBdr>
        <w:top w:val="none" w:sz="0" w:space="0" w:color="auto"/>
        <w:left w:val="none" w:sz="0" w:space="0" w:color="auto"/>
        <w:bottom w:val="none" w:sz="0" w:space="0" w:color="auto"/>
        <w:right w:val="none" w:sz="0" w:space="0" w:color="auto"/>
      </w:divBdr>
    </w:div>
    <w:div w:id="1702439756">
      <w:bodyDiv w:val="1"/>
      <w:marLeft w:val="0"/>
      <w:marRight w:val="0"/>
      <w:marTop w:val="0"/>
      <w:marBottom w:val="0"/>
      <w:divBdr>
        <w:top w:val="none" w:sz="0" w:space="0" w:color="auto"/>
        <w:left w:val="none" w:sz="0" w:space="0" w:color="auto"/>
        <w:bottom w:val="none" w:sz="0" w:space="0" w:color="auto"/>
        <w:right w:val="none" w:sz="0" w:space="0" w:color="auto"/>
      </w:divBdr>
    </w:div>
    <w:div w:id="1728800880">
      <w:bodyDiv w:val="1"/>
      <w:marLeft w:val="0"/>
      <w:marRight w:val="0"/>
      <w:marTop w:val="0"/>
      <w:marBottom w:val="0"/>
      <w:divBdr>
        <w:top w:val="none" w:sz="0" w:space="0" w:color="auto"/>
        <w:left w:val="none" w:sz="0" w:space="0" w:color="auto"/>
        <w:bottom w:val="none" w:sz="0" w:space="0" w:color="auto"/>
        <w:right w:val="none" w:sz="0" w:space="0" w:color="auto"/>
      </w:divBdr>
    </w:div>
    <w:div w:id="21412619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tionalcoalcouncil.org/page-NCC-Studies.html"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nationalcoalcouncil.org/studies/2016/NCC-CO2-Building-Block-FINAL-Report.pdf" TargetMode="Externa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mailto:info@NCC1.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NationalCoalCouncil.org"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5</Pages>
  <Words>1604</Words>
  <Characters>9145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Hayes Design</Company>
  <LinksUpToDate>false</LinksUpToDate>
  <CharactersWithSpaces>10728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Hayes</dc:creator>
  <cp:keywords/>
  <dc:description/>
  <cp:lastModifiedBy>JGellici</cp:lastModifiedBy>
  <cp:revision>97</cp:revision>
  <cp:lastPrinted>2016-08-29T20:59:00Z</cp:lastPrinted>
  <dcterms:created xsi:type="dcterms:W3CDTF">2016-08-25T03:25:00Z</dcterms:created>
  <dcterms:modified xsi:type="dcterms:W3CDTF">2016-09-08T21:37:00Z</dcterms:modified>
</cp:coreProperties>
</file>